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5D6A21">
      <w:pPr>
        <w:spacing w:line="360" w:lineRule="auto"/>
        <w:rPr>
          <w:color w:val="000000" w:themeColor="text1"/>
          <w:sz w:val="52"/>
          <w:szCs w:val="52"/>
        </w:rPr>
      </w:pPr>
    </w:p>
    <w:p w14:paraId="55F84BBF">
      <w:pPr>
        <w:pStyle w:val="63"/>
        <w:ind w:firstLine="420"/>
        <w:rPr>
          <w:color w:val="000000" w:themeColor="text1"/>
        </w:rPr>
      </w:pPr>
    </w:p>
    <w:p w14:paraId="20313931">
      <w:pPr>
        <w:spacing w:line="600" w:lineRule="exact"/>
        <w:jc w:val="center"/>
        <w:rPr>
          <w:rFonts w:ascii="黑体" w:hAnsi="黑体" w:eastAsia="黑体" w:cs="宋体"/>
          <w:b/>
          <w:color w:val="000000" w:themeColor="text1"/>
          <w:sz w:val="52"/>
          <w:szCs w:val="52"/>
        </w:rPr>
      </w:pPr>
      <w:r>
        <w:rPr>
          <w:rFonts w:hint="eastAsia" w:ascii="黑体" w:hAnsi="黑体" w:eastAsia="黑体" w:cs="宋体"/>
          <w:b/>
          <w:color w:val="000000" w:themeColor="text1"/>
          <w:sz w:val="52"/>
          <w:szCs w:val="52"/>
        </w:rPr>
        <w:t>上海铁路文旅传媒集团有限公司</w:t>
      </w:r>
    </w:p>
    <w:p w14:paraId="559E81E6">
      <w:pPr>
        <w:spacing w:line="600" w:lineRule="exact"/>
        <w:jc w:val="center"/>
        <w:rPr>
          <w:rFonts w:hint="eastAsia" w:ascii="黑体" w:hAnsi="黑体" w:eastAsia="黑体" w:cs="宋体"/>
          <w:b/>
          <w:color w:val="000000" w:themeColor="text1"/>
          <w:sz w:val="52"/>
          <w:szCs w:val="52"/>
          <w:lang w:eastAsia="zh-CN"/>
        </w:rPr>
      </w:pPr>
      <w:r>
        <w:rPr>
          <w:rFonts w:hint="eastAsia" w:ascii="黑体" w:hAnsi="黑体" w:eastAsia="黑体" w:cs="宋体"/>
          <w:b/>
          <w:color w:val="000000" w:themeColor="text1"/>
          <w:sz w:val="52"/>
          <w:szCs w:val="52"/>
          <w:lang w:eastAsia="zh-CN"/>
        </w:rPr>
        <w:t>合肥南站商业VIP厅</w:t>
      </w:r>
      <w:r>
        <w:rPr>
          <w:rFonts w:hint="eastAsia" w:ascii="黑体" w:hAnsi="黑体" w:eastAsia="黑体" w:cs="宋体"/>
          <w:b/>
          <w:color w:val="000000" w:themeColor="text1"/>
          <w:sz w:val="52"/>
          <w:szCs w:val="52"/>
        </w:rPr>
        <w:t>项目</w:t>
      </w:r>
    </w:p>
    <w:p w14:paraId="37F53C40">
      <w:pPr>
        <w:spacing w:line="600" w:lineRule="exact"/>
        <w:jc w:val="center"/>
        <w:rPr>
          <w:rFonts w:ascii="黑体" w:hAnsi="黑体" w:eastAsia="黑体" w:cs="宋体"/>
          <w:b/>
          <w:color w:val="000000" w:themeColor="text1"/>
          <w:sz w:val="52"/>
          <w:szCs w:val="52"/>
        </w:rPr>
      </w:pPr>
    </w:p>
    <w:p w14:paraId="0FC4FC4E">
      <w:pPr>
        <w:jc w:val="center"/>
        <w:rPr>
          <w:color w:val="000000" w:themeColor="text1"/>
          <w:sz w:val="44"/>
        </w:rPr>
      </w:pPr>
    </w:p>
    <w:p w14:paraId="03B92850">
      <w:pPr>
        <w:jc w:val="center"/>
        <w:rPr>
          <w:color w:val="000000" w:themeColor="text1"/>
          <w:sz w:val="48"/>
        </w:rPr>
      </w:pPr>
    </w:p>
    <w:p w14:paraId="7051DFAE">
      <w:pPr>
        <w:spacing w:line="360" w:lineRule="auto"/>
        <w:jc w:val="center"/>
        <w:rPr>
          <w:rFonts w:eastAsia="隶书"/>
          <w:b/>
          <w:color w:val="000000" w:themeColor="text1"/>
          <w:sz w:val="84"/>
        </w:rPr>
      </w:pPr>
      <w:r>
        <w:rPr>
          <w:rFonts w:eastAsia="隶书"/>
          <w:b/>
          <w:color w:val="000000" w:themeColor="text1"/>
          <w:spacing w:val="292"/>
          <w:sz w:val="84"/>
        </w:rPr>
        <w:t>招</w:t>
      </w:r>
      <w:r>
        <w:rPr>
          <w:rFonts w:hint="eastAsia" w:eastAsia="隶书"/>
          <w:b/>
          <w:color w:val="000000" w:themeColor="text1"/>
          <w:spacing w:val="292"/>
          <w:sz w:val="84"/>
        </w:rPr>
        <w:t>商</w:t>
      </w:r>
      <w:r>
        <w:rPr>
          <w:rFonts w:eastAsia="隶书"/>
          <w:b/>
          <w:color w:val="000000" w:themeColor="text1"/>
          <w:spacing w:val="292"/>
          <w:sz w:val="84"/>
        </w:rPr>
        <w:t>文</w:t>
      </w:r>
      <w:r>
        <w:rPr>
          <w:rFonts w:eastAsia="隶书"/>
          <w:b/>
          <w:color w:val="000000" w:themeColor="text1"/>
          <w:sz w:val="84"/>
        </w:rPr>
        <w:t>件</w:t>
      </w:r>
    </w:p>
    <w:p w14:paraId="3740330E">
      <w:pPr>
        <w:spacing w:line="360" w:lineRule="auto"/>
        <w:jc w:val="center"/>
        <w:rPr>
          <w:rFonts w:hint="default" w:eastAsia="宋体"/>
          <w:color w:val="auto"/>
          <w:sz w:val="32"/>
          <w:lang w:val="en-US" w:eastAsia="zh-CN"/>
        </w:rPr>
      </w:pPr>
      <w:r>
        <w:rPr>
          <w:color w:val="000000" w:themeColor="text1"/>
          <w:sz w:val="32"/>
        </w:rPr>
        <w:t>招商编号</w:t>
      </w:r>
      <w:r>
        <w:rPr>
          <w:color w:val="auto"/>
          <w:sz w:val="32"/>
        </w:rPr>
        <w:t>：</w:t>
      </w:r>
      <w:bookmarkStart w:id="0" w:name="OLE_LINK4"/>
      <w:bookmarkStart w:id="1" w:name="OLE_LINK5"/>
      <w:r>
        <w:rPr>
          <w:rFonts w:hint="eastAsia"/>
          <w:color w:val="auto"/>
          <w:sz w:val="32"/>
        </w:rPr>
        <w:t>SL-</w:t>
      </w:r>
      <w:r>
        <w:rPr>
          <w:rFonts w:hint="eastAsia"/>
          <w:color w:val="auto"/>
          <w:sz w:val="32"/>
          <w:lang w:val="en-US" w:eastAsia="zh-CN"/>
        </w:rPr>
        <w:t>2025</w:t>
      </w:r>
      <w:r>
        <w:rPr>
          <w:rFonts w:hint="eastAsia"/>
          <w:color w:val="auto"/>
          <w:sz w:val="32"/>
        </w:rPr>
        <w:t>-</w:t>
      </w:r>
      <w:r>
        <w:rPr>
          <w:rFonts w:hint="eastAsia"/>
          <w:color w:val="auto"/>
          <w:sz w:val="32"/>
          <w:lang w:val="en-US" w:eastAsia="zh-CN"/>
        </w:rPr>
        <w:t>9</w:t>
      </w:r>
      <w:r>
        <w:rPr>
          <w:rFonts w:hint="eastAsia"/>
          <w:color w:val="auto"/>
          <w:sz w:val="32"/>
        </w:rPr>
        <w:t>-</w:t>
      </w:r>
      <w:r>
        <w:rPr>
          <w:rFonts w:hint="eastAsia"/>
          <w:color w:val="auto"/>
          <w:sz w:val="32"/>
          <w:lang w:val="en-US" w:eastAsia="zh-CN"/>
        </w:rPr>
        <w:t>25</w:t>
      </w:r>
    </w:p>
    <w:bookmarkEnd w:id="0"/>
    <w:bookmarkEnd w:id="1"/>
    <w:p w14:paraId="27632B0A">
      <w:pPr>
        <w:spacing w:line="360" w:lineRule="auto"/>
        <w:rPr>
          <w:color w:val="000000" w:themeColor="text1"/>
        </w:rPr>
      </w:pPr>
    </w:p>
    <w:p w14:paraId="0D4018E1">
      <w:pPr>
        <w:tabs>
          <w:tab w:val="left" w:pos="6751"/>
        </w:tabs>
        <w:spacing w:line="360" w:lineRule="auto"/>
        <w:rPr>
          <w:color w:val="000000" w:themeColor="text1"/>
        </w:rPr>
      </w:pPr>
      <w:r>
        <w:rPr>
          <w:color w:val="000000" w:themeColor="text1"/>
        </w:rPr>
        <w:tab/>
      </w:r>
    </w:p>
    <w:p w14:paraId="0B27B8D6">
      <w:pPr>
        <w:spacing w:line="360" w:lineRule="auto"/>
        <w:rPr>
          <w:color w:val="000000" w:themeColor="text1"/>
        </w:rPr>
      </w:pPr>
    </w:p>
    <w:p w14:paraId="34589414">
      <w:pPr>
        <w:spacing w:line="360" w:lineRule="auto"/>
        <w:rPr>
          <w:color w:val="000000" w:themeColor="text1"/>
        </w:rPr>
      </w:pPr>
    </w:p>
    <w:p w14:paraId="17893D22">
      <w:pPr>
        <w:spacing w:line="360" w:lineRule="auto"/>
        <w:rPr>
          <w:color w:val="000000" w:themeColor="text1"/>
        </w:rPr>
      </w:pPr>
    </w:p>
    <w:p w14:paraId="7809E5F3">
      <w:pPr>
        <w:spacing w:line="360" w:lineRule="auto"/>
        <w:rPr>
          <w:color w:val="000000" w:themeColor="text1"/>
        </w:rPr>
      </w:pPr>
    </w:p>
    <w:p w14:paraId="38BCE862">
      <w:pPr>
        <w:spacing w:line="360" w:lineRule="auto"/>
        <w:rPr>
          <w:color w:val="000000" w:themeColor="text1"/>
        </w:rPr>
      </w:pPr>
    </w:p>
    <w:p w14:paraId="09DCE901">
      <w:pPr>
        <w:spacing w:line="360" w:lineRule="auto"/>
        <w:rPr>
          <w:color w:val="000000" w:themeColor="text1"/>
        </w:rPr>
      </w:pPr>
    </w:p>
    <w:p w14:paraId="1F43FD88">
      <w:pPr>
        <w:spacing w:line="360" w:lineRule="auto"/>
        <w:rPr>
          <w:color w:val="000000" w:themeColor="text1"/>
        </w:rPr>
      </w:pPr>
    </w:p>
    <w:p w14:paraId="06CDB6E2">
      <w:pPr>
        <w:spacing w:line="360" w:lineRule="auto"/>
        <w:rPr>
          <w:color w:val="000000" w:themeColor="text1"/>
        </w:rPr>
      </w:pPr>
    </w:p>
    <w:p w14:paraId="28CC4A9F">
      <w:pPr>
        <w:spacing w:line="360" w:lineRule="auto"/>
        <w:jc w:val="center"/>
        <w:rPr>
          <w:color w:val="000000" w:themeColor="text1"/>
          <w:sz w:val="32"/>
        </w:rPr>
      </w:pPr>
      <w:r>
        <w:rPr>
          <w:color w:val="000000" w:themeColor="text1"/>
          <w:sz w:val="32"/>
        </w:rPr>
        <w:t>招商单位：上海</w:t>
      </w:r>
      <w:r>
        <w:rPr>
          <w:rFonts w:hint="eastAsia"/>
          <w:color w:val="000000" w:themeColor="text1"/>
          <w:sz w:val="32"/>
        </w:rPr>
        <w:t>铁路文旅传媒集团有限公司</w:t>
      </w:r>
    </w:p>
    <w:p w14:paraId="7E48F6BE">
      <w:pPr>
        <w:spacing w:line="360" w:lineRule="auto"/>
        <w:jc w:val="center"/>
        <w:rPr>
          <w:color w:val="auto"/>
          <w:sz w:val="32"/>
        </w:rPr>
      </w:pPr>
      <w:r>
        <w:rPr>
          <w:color w:val="auto"/>
          <w:sz w:val="32"/>
        </w:rPr>
        <w:t>二</w:t>
      </w:r>
      <w:r>
        <w:rPr>
          <w:rFonts w:hint="eastAsia"/>
          <w:color w:val="auto"/>
          <w:sz w:val="32"/>
        </w:rPr>
        <w:t>〇</w:t>
      </w:r>
      <w:r>
        <w:rPr>
          <w:color w:val="auto"/>
          <w:sz w:val="32"/>
        </w:rPr>
        <w:t>二</w:t>
      </w:r>
      <w:r>
        <w:rPr>
          <w:rFonts w:hint="eastAsia"/>
          <w:color w:val="auto"/>
          <w:sz w:val="32"/>
          <w:lang w:eastAsia="zh-CN"/>
        </w:rPr>
        <w:t>五</w:t>
      </w:r>
      <w:r>
        <w:rPr>
          <w:color w:val="auto"/>
          <w:sz w:val="32"/>
        </w:rPr>
        <w:t>年</w:t>
      </w:r>
      <w:r>
        <w:rPr>
          <w:rFonts w:hint="eastAsia"/>
          <w:color w:val="auto"/>
          <w:sz w:val="32"/>
          <w:lang w:eastAsia="zh-CN"/>
        </w:rPr>
        <w:t>九</w:t>
      </w:r>
      <w:r>
        <w:rPr>
          <w:color w:val="auto"/>
          <w:sz w:val="32"/>
        </w:rPr>
        <w:t>月</w:t>
      </w:r>
    </w:p>
    <w:p w14:paraId="541264B3">
      <w:pPr>
        <w:spacing w:line="360" w:lineRule="auto"/>
        <w:jc w:val="center"/>
        <w:rPr>
          <w:color w:val="000000" w:themeColor="text1"/>
          <w:sz w:val="32"/>
        </w:rPr>
      </w:pPr>
      <w:bookmarkStart w:id="2" w:name="OLE_LINK2"/>
      <w:bookmarkStart w:id="3" w:name="OLE_LINK1"/>
    </w:p>
    <w:p w14:paraId="1A047D38">
      <w:pPr>
        <w:spacing w:line="360" w:lineRule="auto"/>
        <w:jc w:val="center"/>
        <w:rPr>
          <w:color w:val="000000" w:themeColor="text1"/>
          <w:sz w:val="32"/>
        </w:rPr>
      </w:pPr>
    </w:p>
    <w:p w14:paraId="2E7EB348">
      <w:pPr>
        <w:spacing w:line="360" w:lineRule="auto"/>
        <w:jc w:val="center"/>
        <w:rPr>
          <w:color w:val="000000" w:themeColor="text1"/>
          <w:sz w:val="32"/>
        </w:rPr>
      </w:pPr>
    </w:p>
    <w:p w14:paraId="2B77D737">
      <w:pPr>
        <w:spacing w:line="360" w:lineRule="auto"/>
        <w:jc w:val="center"/>
        <w:rPr>
          <w:color w:val="000000" w:themeColor="text1"/>
          <w:sz w:val="32"/>
        </w:rPr>
      </w:pPr>
    </w:p>
    <w:p w14:paraId="2B22B9F0">
      <w:pPr>
        <w:spacing w:line="360" w:lineRule="auto"/>
        <w:jc w:val="center"/>
        <w:rPr>
          <w:color w:val="000000" w:themeColor="text1"/>
        </w:rPr>
      </w:pPr>
      <w:r>
        <w:rPr>
          <w:rFonts w:eastAsia="黑体"/>
          <w:color w:val="000000" w:themeColor="text1"/>
          <w:sz w:val="32"/>
        </w:rPr>
        <w:t>总目录</w:t>
      </w:r>
      <w:bookmarkEnd w:id="2"/>
      <w:bookmarkEnd w:id="3"/>
      <w:r>
        <w:rPr>
          <w:color w:val="000000" w:themeColor="text1"/>
        </w:rPr>
        <w:fldChar w:fldCharType="begin"/>
      </w:r>
      <w:r>
        <w:rPr>
          <w:color w:val="000000" w:themeColor="text1"/>
        </w:rPr>
        <w:instrText xml:space="preserve"> TOC \h \z \t "引文目录标题,1"</w:instrText>
      </w:r>
      <w:r>
        <w:rPr>
          <w:color w:val="000000" w:themeColor="text1"/>
        </w:rPr>
        <w:fldChar w:fldCharType="separate"/>
      </w:r>
    </w:p>
    <w:p w14:paraId="1AC13751">
      <w:pPr>
        <w:jc w:val="center"/>
        <w:rPr>
          <w:color w:val="000000" w:themeColor="text1"/>
        </w:rPr>
      </w:pPr>
    </w:p>
    <w:p w14:paraId="7036556D">
      <w:pPr>
        <w:pStyle w:val="161"/>
        <w:tabs>
          <w:tab w:val="right" w:leader="dot" w:pos="9525"/>
        </w:tabs>
        <w:spacing w:line="276" w:lineRule="auto"/>
        <w:rPr>
          <w:rFonts w:ascii="宋体" w:hAnsi="宋体" w:cs="宋体"/>
          <w:color w:val="000000" w:themeColor="text1"/>
          <w:sz w:val="24"/>
          <w:szCs w:val="24"/>
        </w:rPr>
      </w:pPr>
      <w:r>
        <w:rPr>
          <w:rFonts w:hint="eastAsia" w:ascii="宋体" w:hAnsi="宋体" w:cs="宋体"/>
          <w:color w:val="000000" w:themeColor="text1"/>
          <w:sz w:val="24"/>
          <w:szCs w:val="24"/>
        </w:rPr>
        <w:fldChar w:fldCharType="begin"/>
      </w:r>
      <w:r>
        <w:rPr>
          <w:rFonts w:hint="eastAsia" w:ascii="宋体" w:hAnsi="宋体" w:cs="宋体"/>
          <w:color w:val="000000" w:themeColor="text1"/>
          <w:sz w:val="24"/>
          <w:szCs w:val="24"/>
        </w:rPr>
        <w:instrText xml:space="preserve">TOC \o "1-1" \h \u </w:instrText>
      </w:r>
      <w:r>
        <w:rPr>
          <w:rFonts w:hint="eastAsia" w:ascii="宋体" w:hAnsi="宋体" w:cs="宋体"/>
          <w:color w:val="000000" w:themeColor="text1"/>
          <w:sz w:val="24"/>
          <w:szCs w:val="24"/>
        </w:rPr>
        <w:fldChar w:fldCharType="separate"/>
      </w:r>
      <w:r>
        <w:fldChar w:fldCharType="begin"/>
      </w:r>
      <w:r>
        <w:instrText xml:space="preserve"> HYPERLINK \l "_Toc31146" </w:instrText>
      </w:r>
      <w:r>
        <w:fldChar w:fldCharType="separate"/>
      </w:r>
      <w:r>
        <w:rPr>
          <w:rFonts w:hint="eastAsia" w:ascii="宋体" w:hAnsi="宋体" w:cs="宋体"/>
          <w:color w:val="000000" w:themeColor="text1"/>
          <w:sz w:val="24"/>
          <w:szCs w:val="24"/>
        </w:rPr>
        <w:t>第一章  招商</w:t>
      </w:r>
      <w:bookmarkStart w:id="4" w:name="_Hlt119597639"/>
      <w:bookmarkStart w:id="5" w:name="_Hlt119597638"/>
      <w:r>
        <w:rPr>
          <w:rFonts w:hint="eastAsia" w:ascii="宋体" w:hAnsi="宋体" w:cs="宋体"/>
          <w:color w:val="000000" w:themeColor="text1"/>
          <w:sz w:val="24"/>
          <w:szCs w:val="24"/>
        </w:rPr>
        <w:t>公</w:t>
      </w:r>
      <w:bookmarkEnd w:id="4"/>
      <w:bookmarkEnd w:id="5"/>
      <w:r>
        <w:rPr>
          <w:rFonts w:hint="eastAsia" w:ascii="宋体" w:hAnsi="宋体" w:cs="宋体"/>
          <w:color w:val="000000" w:themeColor="text1"/>
          <w:sz w:val="24"/>
          <w:szCs w:val="24"/>
        </w:rPr>
        <w:t>告</w:t>
      </w:r>
      <w:r>
        <w:rPr>
          <w:rFonts w:hint="eastAsia" w:ascii="宋体" w:hAnsi="宋体" w:cs="宋体"/>
          <w:color w:val="000000" w:themeColor="text1"/>
          <w:sz w:val="24"/>
          <w:szCs w:val="24"/>
        </w:rPr>
        <w:tab/>
      </w:r>
      <w:r>
        <w:rPr>
          <w:rFonts w:hint="eastAsia" w:ascii="宋体" w:hAnsi="宋体" w:cs="宋体"/>
          <w:color w:val="000000" w:themeColor="text1"/>
          <w:sz w:val="24"/>
          <w:szCs w:val="24"/>
        </w:rPr>
        <w:t>3</w:t>
      </w:r>
      <w:r>
        <w:rPr>
          <w:rFonts w:hint="eastAsia" w:ascii="宋体" w:hAnsi="宋体" w:cs="宋体"/>
          <w:color w:val="000000" w:themeColor="text1"/>
          <w:sz w:val="24"/>
          <w:szCs w:val="24"/>
        </w:rPr>
        <w:fldChar w:fldCharType="end"/>
      </w:r>
    </w:p>
    <w:p w14:paraId="56B83A60">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"_Toc13533" </w:instrText>
      </w:r>
      <w:r>
        <w:fldChar w:fldCharType="separate"/>
      </w:r>
      <w:r>
        <w:rPr>
          <w:rFonts w:hint="eastAsia" w:ascii="宋体" w:hAnsi="宋体" w:cs="宋体"/>
          <w:color w:val="000000" w:themeColor="text1"/>
          <w:sz w:val="24"/>
          <w:szCs w:val="24"/>
        </w:rPr>
        <w:t>第二章  竞商人须知</w:t>
      </w:r>
      <w:r>
        <w:rPr>
          <w:rFonts w:hint="eastAsia" w:ascii="宋体" w:hAnsi="宋体" w:cs="宋体"/>
          <w:color w:val="000000" w:themeColor="text1"/>
          <w:sz w:val="24"/>
          <w:szCs w:val="24"/>
        </w:rPr>
        <w:tab/>
      </w:r>
      <w:r>
        <w:rPr>
          <w:rFonts w:hint="eastAsia" w:ascii="宋体" w:hAnsi="宋体" w:cs="宋体"/>
          <w:color w:val="000000" w:themeColor="text1"/>
          <w:sz w:val="24"/>
          <w:szCs w:val="24"/>
        </w:rPr>
        <w:t>8</w:t>
      </w:r>
      <w:r>
        <w:rPr>
          <w:rFonts w:hint="eastAsia" w:ascii="宋体" w:hAnsi="宋体" w:cs="宋体"/>
          <w:color w:val="000000" w:themeColor="text1"/>
          <w:sz w:val="24"/>
          <w:szCs w:val="24"/>
        </w:rPr>
        <w:fldChar w:fldCharType="end"/>
      </w:r>
    </w:p>
    <w:p w14:paraId="0C9525BE">
      <w:pPr>
        <w:pStyle w:val="161"/>
        <w:tabs>
          <w:tab w:val="right" w:leader="dot" w:pos="9525"/>
        </w:tabs>
        <w:spacing w:line="276" w:lineRule="auto"/>
        <w:rPr>
          <w:rFonts w:ascii="宋体" w:hAnsi="宋体" w:cs="宋体"/>
          <w:color w:val="000000" w:themeColor="text1"/>
          <w:sz w:val="24"/>
          <w:szCs w:val="24"/>
        </w:rPr>
      </w:pPr>
      <w:bookmarkStart w:id="6" w:name="_Hlt109219994"/>
      <w:bookmarkStart w:id="7" w:name="_Hlt109219995"/>
      <w:r>
        <w:rPr>
          <w:rFonts w:hint="eastAsia" w:ascii="宋体" w:hAnsi="宋体" w:cs="宋体"/>
          <w:color w:val="000000" w:themeColor="text1"/>
          <w:sz w:val="24"/>
          <w:szCs w:val="24"/>
        </w:rPr>
        <w:fldChar w:fldCharType="begin"/>
      </w:r>
      <w:r>
        <w:rPr>
          <w:rFonts w:hint="eastAsia" w:ascii="宋体" w:hAnsi="宋体" w:cs="宋体"/>
          <w:color w:val="000000" w:themeColor="text1"/>
          <w:sz w:val="24"/>
          <w:szCs w:val="24"/>
        </w:rPr>
        <w:instrText xml:space="preserve"> HYPERLINK \l _Toc17067 </w:instrText>
      </w:r>
      <w:r>
        <w:rPr>
          <w:rFonts w:hint="eastAsia" w:ascii="宋体" w:hAnsi="宋体" w:cs="宋体"/>
          <w:color w:val="000000" w:themeColor="text1"/>
          <w:sz w:val="24"/>
          <w:szCs w:val="24"/>
        </w:rPr>
        <w:fldChar w:fldCharType="separate"/>
      </w:r>
      <w:r>
        <w:rPr>
          <w:rFonts w:hint="eastAsia" w:ascii="宋体" w:hAnsi="宋体" w:cs="宋体"/>
          <w:color w:val="000000" w:themeColor="text1"/>
          <w:sz w:val="24"/>
          <w:szCs w:val="24"/>
        </w:rPr>
        <w:t>竞商人须知前附表</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end"/>
      </w:r>
      <w:bookmarkEnd w:id="6"/>
      <w:bookmarkEnd w:id="7"/>
      <w:r>
        <w:rPr>
          <w:rFonts w:hint="eastAsia" w:ascii="宋体" w:hAnsi="宋体" w:cs="宋体"/>
          <w:color w:val="000000" w:themeColor="text1"/>
          <w:sz w:val="24"/>
          <w:szCs w:val="24"/>
        </w:rPr>
        <w:t>9</w:t>
      </w:r>
    </w:p>
    <w:p w14:paraId="34BC8EB0">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"_Toc17067" </w:instrText>
      </w:r>
      <w:r>
        <w:fldChar w:fldCharType="separate"/>
      </w:r>
      <w:r>
        <w:rPr>
          <w:rFonts w:hint="eastAsia" w:ascii="宋体" w:hAnsi="宋体" w:cs="宋体"/>
          <w:color w:val="000000" w:themeColor="text1"/>
          <w:sz w:val="24"/>
          <w:szCs w:val="24"/>
        </w:rPr>
        <w:t>1 总则</w:t>
      </w:r>
      <w:r>
        <w:rPr>
          <w:rFonts w:hint="eastAsia" w:ascii="宋体" w:hAnsi="宋体" w:cs="宋体"/>
          <w:color w:val="000000" w:themeColor="text1"/>
          <w:sz w:val="24"/>
          <w:szCs w:val="24"/>
        </w:rPr>
        <w:tab/>
      </w:r>
      <w:r>
        <w:rPr>
          <w:rFonts w:hint="eastAsia" w:ascii="宋体" w:hAnsi="宋体" w:cs="宋体"/>
          <w:color w:val="000000" w:themeColor="text1"/>
          <w:sz w:val="24"/>
          <w:szCs w:val="24"/>
        </w:rPr>
        <w:t>10</w:t>
      </w:r>
      <w:r>
        <w:rPr>
          <w:rFonts w:hint="eastAsia" w:ascii="宋体" w:hAnsi="宋体" w:cs="宋体"/>
          <w:color w:val="000000" w:themeColor="text1"/>
          <w:sz w:val="24"/>
          <w:szCs w:val="24"/>
        </w:rPr>
        <w:fldChar w:fldCharType="end"/>
      </w:r>
    </w:p>
    <w:p w14:paraId="710E009F">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"_Toc18430" </w:instrText>
      </w:r>
      <w:r>
        <w:fldChar w:fldCharType="separate"/>
      </w:r>
      <w:r>
        <w:rPr>
          <w:rFonts w:hint="eastAsia" w:ascii="宋体" w:hAnsi="宋体" w:cs="宋体"/>
          <w:color w:val="000000" w:themeColor="text1"/>
          <w:sz w:val="24"/>
          <w:szCs w:val="24"/>
        </w:rPr>
        <w:t>2 招商文件说明</w:t>
      </w:r>
      <w:r>
        <w:rPr>
          <w:rFonts w:hint="eastAsia" w:ascii="宋体" w:hAnsi="宋体" w:cs="宋体"/>
          <w:color w:val="000000" w:themeColor="text1"/>
          <w:sz w:val="24"/>
          <w:szCs w:val="24"/>
        </w:rPr>
        <w:tab/>
      </w:r>
      <w:r>
        <w:rPr>
          <w:rFonts w:hint="eastAsia" w:ascii="宋体" w:hAnsi="宋体" w:cs="宋体"/>
          <w:color w:val="000000" w:themeColor="text1"/>
          <w:sz w:val="24"/>
          <w:szCs w:val="24"/>
        </w:rPr>
        <w:t>12</w:t>
      </w:r>
      <w:r>
        <w:rPr>
          <w:rFonts w:hint="eastAsia" w:ascii="宋体" w:hAnsi="宋体" w:cs="宋体"/>
          <w:color w:val="000000" w:themeColor="text1"/>
          <w:sz w:val="24"/>
          <w:szCs w:val="24"/>
        </w:rPr>
        <w:fldChar w:fldCharType="end"/>
      </w:r>
    </w:p>
    <w:p w14:paraId="0336C25C">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"_Toc18221" </w:instrText>
      </w:r>
      <w:r>
        <w:fldChar w:fldCharType="separate"/>
      </w:r>
      <w:r>
        <w:rPr>
          <w:rFonts w:ascii="宋体" w:hAnsi="宋体" w:cs="宋体"/>
          <w:color w:val="000000" w:themeColor="text1"/>
          <w:sz w:val="24"/>
          <w:szCs w:val="24"/>
        </w:rPr>
        <w:t>3</w:t>
      </w:r>
      <w:r>
        <w:rPr>
          <w:rFonts w:hint="eastAsia" w:ascii="宋体" w:hAnsi="宋体" w:cs="宋体"/>
          <w:color w:val="000000" w:themeColor="text1"/>
          <w:sz w:val="24"/>
          <w:szCs w:val="24"/>
        </w:rPr>
        <w:t xml:space="preserve"> 竞商文件的编制</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begin"/>
      </w:r>
      <w:r>
        <w:rPr>
          <w:rFonts w:hint="eastAsia" w:ascii="宋体" w:hAnsi="宋体" w:cs="宋体"/>
          <w:color w:val="000000" w:themeColor="text1"/>
          <w:sz w:val="24"/>
          <w:szCs w:val="24"/>
        </w:rPr>
        <w:instrText xml:space="preserve"> PAGEREF _Toc18221 </w:instrText>
      </w:r>
      <w:r>
        <w:rPr>
          <w:rFonts w:hint="eastAsia" w:ascii="宋体" w:hAnsi="宋体" w:cs="宋体"/>
          <w:color w:val="000000" w:themeColor="text1"/>
          <w:sz w:val="24"/>
          <w:szCs w:val="24"/>
        </w:rPr>
        <w:fldChar w:fldCharType="separate"/>
      </w:r>
      <w:r>
        <w:rPr>
          <w:rFonts w:ascii="宋体" w:hAnsi="宋体" w:cs="宋体"/>
          <w:color w:val="000000" w:themeColor="text1"/>
          <w:sz w:val="24"/>
          <w:szCs w:val="24"/>
        </w:rPr>
        <w:t>1</w:t>
      </w:r>
      <w:r>
        <w:rPr>
          <w:rFonts w:hint="eastAsia" w:ascii="宋体" w:hAnsi="宋体" w:cs="宋体"/>
          <w:color w:val="000000" w:themeColor="text1"/>
          <w:sz w:val="24"/>
          <w:szCs w:val="24"/>
        </w:rPr>
        <w:t>3</w:t>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fldChar w:fldCharType="end"/>
      </w:r>
    </w:p>
    <w:p w14:paraId="663E7D98">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"_Toc11278" </w:instrText>
      </w:r>
      <w:r>
        <w:fldChar w:fldCharType="separate"/>
      </w:r>
      <w:r>
        <w:rPr>
          <w:rFonts w:hint="eastAsia" w:ascii="宋体" w:hAnsi="宋体" w:cs="宋体"/>
          <w:color w:val="000000" w:themeColor="text1"/>
          <w:sz w:val="24"/>
          <w:szCs w:val="24"/>
        </w:rPr>
        <w:t>4 竞商文件的递交</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begin"/>
      </w:r>
      <w:r>
        <w:rPr>
          <w:rFonts w:hint="eastAsia" w:ascii="宋体" w:hAnsi="宋体" w:cs="宋体"/>
          <w:color w:val="000000" w:themeColor="text1"/>
          <w:sz w:val="24"/>
          <w:szCs w:val="24"/>
        </w:rPr>
        <w:instrText xml:space="preserve"> PAGEREF _Toc11278 </w:instrText>
      </w:r>
      <w:r>
        <w:rPr>
          <w:rFonts w:hint="eastAsia" w:ascii="宋体" w:hAnsi="宋体" w:cs="宋体"/>
          <w:color w:val="000000" w:themeColor="text1"/>
          <w:sz w:val="24"/>
          <w:szCs w:val="24"/>
        </w:rPr>
        <w:fldChar w:fldCharType="separate"/>
      </w:r>
      <w:r>
        <w:rPr>
          <w:rFonts w:ascii="宋体" w:hAnsi="宋体" w:cs="宋体"/>
          <w:color w:val="000000" w:themeColor="text1"/>
          <w:sz w:val="24"/>
          <w:szCs w:val="24"/>
        </w:rPr>
        <w:t>1</w:t>
      </w:r>
      <w:r>
        <w:rPr>
          <w:rFonts w:hint="eastAsia" w:ascii="宋体" w:hAnsi="宋体" w:cs="宋体"/>
          <w:color w:val="000000" w:themeColor="text1"/>
          <w:sz w:val="24"/>
          <w:szCs w:val="24"/>
        </w:rPr>
        <w:t>6</w:t>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fldChar w:fldCharType="end"/>
      </w:r>
    </w:p>
    <w:p w14:paraId="358C6CB9">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"_Toc11278" </w:instrText>
      </w:r>
      <w:r>
        <w:fldChar w:fldCharType="separate"/>
      </w:r>
      <w:r>
        <w:rPr>
          <w:rFonts w:hint="eastAsia" w:ascii="宋体" w:hAnsi="宋体" w:cs="宋体"/>
          <w:color w:val="000000" w:themeColor="text1"/>
          <w:sz w:val="24"/>
          <w:szCs w:val="24"/>
        </w:rPr>
        <w:t>5竞商报名</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begin"/>
      </w:r>
      <w:r>
        <w:rPr>
          <w:rFonts w:hint="eastAsia" w:ascii="宋体" w:hAnsi="宋体" w:cs="宋体"/>
          <w:color w:val="000000" w:themeColor="text1"/>
          <w:sz w:val="24"/>
          <w:szCs w:val="24"/>
        </w:rPr>
        <w:instrText xml:space="preserve"> PAGEREF _Toc11278 </w:instrText>
      </w:r>
      <w:r>
        <w:rPr>
          <w:rFonts w:hint="eastAsia" w:ascii="宋体" w:hAnsi="宋体" w:cs="宋体"/>
          <w:color w:val="000000" w:themeColor="text1"/>
          <w:sz w:val="24"/>
          <w:szCs w:val="24"/>
        </w:rPr>
        <w:fldChar w:fldCharType="separate"/>
      </w:r>
      <w:r>
        <w:rPr>
          <w:rFonts w:ascii="宋体" w:hAnsi="宋体" w:cs="宋体"/>
          <w:color w:val="000000" w:themeColor="text1"/>
          <w:sz w:val="24"/>
          <w:szCs w:val="24"/>
        </w:rPr>
        <w:t>1</w:t>
      </w:r>
      <w:r>
        <w:rPr>
          <w:rFonts w:hint="eastAsia" w:ascii="宋体" w:hAnsi="宋体" w:cs="宋体"/>
          <w:color w:val="000000" w:themeColor="text1"/>
          <w:sz w:val="24"/>
          <w:szCs w:val="24"/>
        </w:rPr>
        <w:t>7</w:t>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fldChar w:fldCharType="end"/>
      </w:r>
    </w:p>
    <w:p w14:paraId="79A1AF5F">
      <w:pPr>
        <w:pStyle w:val="161"/>
        <w:tabs>
          <w:tab w:val="right" w:leader="dot" w:pos="9525"/>
        </w:tabs>
        <w:spacing w:line="276" w:lineRule="auto"/>
      </w:pPr>
      <w:r>
        <w:fldChar w:fldCharType="begin"/>
      </w:r>
      <w:r>
        <w:instrText xml:space="preserve"> HYPERLINK \l "_Toc23478" </w:instrText>
      </w:r>
      <w:r>
        <w:fldChar w:fldCharType="separate"/>
      </w:r>
      <w:r>
        <w:rPr>
          <w:rFonts w:hint="eastAsia" w:ascii="宋体" w:hAnsi="宋体" w:cs="宋体"/>
          <w:color w:val="000000" w:themeColor="text1"/>
          <w:sz w:val="24"/>
          <w:szCs w:val="24"/>
        </w:rPr>
        <w:t>6 报价和评审</w:t>
      </w:r>
      <w:r>
        <w:rPr>
          <w:rFonts w:hint="eastAsia" w:ascii="宋体" w:hAnsi="宋体" w:cs="宋体"/>
          <w:color w:val="000000" w:themeColor="text1"/>
          <w:sz w:val="24"/>
          <w:szCs w:val="24"/>
        </w:rPr>
        <w:tab/>
      </w:r>
      <w:r>
        <w:rPr>
          <w:rFonts w:hint="eastAsia" w:ascii="宋体" w:hAnsi="宋体" w:cs="宋体"/>
          <w:color w:val="000000" w:themeColor="text1"/>
          <w:sz w:val="24"/>
          <w:szCs w:val="24"/>
        </w:rPr>
        <w:t>18</w:t>
      </w:r>
      <w:r>
        <w:rPr>
          <w:rFonts w:hint="eastAsia" w:ascii="宋体" w:hAnsi="宋体" w:cs="宋体"/>
          <w:color w:val="000000" w:themeColor="text1"/>
          <w:sz w:val="24"/>
          <w:szCs w:val="24"/>
        </w:rPr>
        <w:fldChar w:fldCharType="end"/>
      </w:r>
    </w:p>
    <w:p w14:paraId="787304C9">
      <w:pPr>
        <w:pStyle w:val="161"/>
        <w:tabs>
          <w:tab w:val="right" w:leader="dot" w:pos="9525"/>
        </w:tabs>
        <w:spacing w:line="276" w:lineRule="auto"/>
      </w:pPr>
      <w:r>
        <w:fldChar w:fldCharType="begin"/>
      </w:r>
      <w:r>
        <w:instrText xml:space="preserve"> HYPERLINK \l "_Toc23478" </w:instrText>
      </w:r>
      <w:r>
        <w:fldChar w:fldCharType="separate"/>
      </w:r>
      <w:r>
        <w:rPr>
          <w:rFonts w:hint="eastAsia" w:ascii="宋体" w:hAnsi="宋体" w:cs="宋体"/>
          <w:color w:val="000000" w:themeColor="text1"/>
          <w:sz w:val="24"/>
          <w:szCs w:val="24"/>
        </w:rPr>
        <w:t>7选定中商人和签署合同</w:t>
      </w:r>
      <w:r>
        <w:rPr>
          <w:rFonts w:hint="eastAsia" w:ascii="宋体" w:hAnsi="宋体" w:cs="宋体"/>
          <w:color w:val="000000" w:themeColor="text1"/>
          <w:sz w:val="24"/>
          <w:szCs w:val="24"/>
        </w:rPr>
        <w:tab/>
      </w:r>
      <w:r>
        <w:rPr>
          <w:rFonts w:hint="eastAsia" w:ascii="宋体" w:hAnsi="宋体" w:cs="宋体"/>
          <w:color w:val="000000" w:themeColor="text1"/>
          <w:sz w:val="24"/>
          <w:szCs w:val="24"/>
        </w:rPr>
        <w:t>23</w:t>
      </w:r>
      <w:r>
        <w:rPr>
          <w:rFonts w:hint="eastAsia" w:ascii="宋体" w:hAnsi="宋体" w:cs="宋体"/>
          <w:color w:val="000000" w:themeColor="text1"/>
          <w:sz w:val="24"/>
          <w:szCs w:val="24"/>
        </w:rPr>
        <w:fldChar w:fldCharType="end"/>
      </w:r>
    </w:p>
    <w:p w14:paraId="6FC61CDF">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"_Toc31338" </w:instrText>
      </w:r>
      <w:r>
        <w:fldChar w:fldCharType="separate"/>
      </w:r>
      <w:r>
        <w:rPr>
          <w:rFonts w:hint="eastAsia" w:ascii="宋体" w:hAnsi="宋体" w:cs="宋体"/>
          <w:color w:val="000000" w:themeColor="text1"/>
          <w:sz w:val="24"/>
          <w:szCs w:val="24"/>
        </w:rPr>
        <w:t>第三章  项目情况介绍</w:t>
      </w:r>
      <w:r>
        <w:rPr>
          <w:rFonts w:hint="eastAsia" w:ascii="宋体" w:hAnsi="宋体" w:cs="宋体"/>
          <w:color w:val="000000" w:themeColor="text1"/>
          <w:sz w:val="24"/>
          <w:szCs w:val="24"/>
        </w:rPr>
        <w:tab/>
      </w:r>
      <w:r>
        <w:rPr>
          <w:rFonts w:hint="eastAsia" w:ascii="宋体" w:hAnsi="宋体" w:cs="宋体"/>
          <w:color w:val="000000" w:themeColor="text1"/>
          <w:sz w:val="24"/>
          <w:szCs w:val="24"/>
        </w:rPr>
        <w:t>24</w:t>
      </w:r>
      <w:r>
        <w:rPr>
          <w:rFonts w:hint="eastAsia" w:ascii="宋体" w:hAnsi="宋体" w:cs="宋体"/>
          <w:color w:val="000000" w:themeColor="text1"/>
          <w:sz w:val="24"/>
          <w:szCs w:val="24"/>
        </w:rPr>
        <w:fldChar w:fldCharType="end"/>
      </w:r>
    </w:p>
    <w:p w14:paraId="0C326B08">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"_Toc1162" </w:instrText>
      </w:r>
      <w:r>
        <w:fldChar w:fldCharType="separate"/>
      </w:r>
      <w:r>
        <w:rPr>
          <w:rFonts w:hint="eastAsia" w:ascii="宋体" w:hAnsi="宋体" w:cs="宋体"/>
          <w:color w:val="000000" w:themeColor="text1"/>
          <w:sz w:val="24"/>
          <w:szCs w:val="24"/>
        </w:rPr>
        <w:t>第四章  评审细则</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begin"/>
      </w:r>
      <w:r>
        <w:rPr>
          <w:rFonts w:hint="eastAsia" w:ascii="宋体" w:hAnsi="宋体" w:cs="宋体"/>
          <w:color w:val="000000" w:themeColor="text1"/>
          <w:sz w:val="24"/>
          <w:szCs w:val="24"/>
        </w:rPr>
        <w:instrText xml:space="preserve"> PAGEREF _Toc1162 </w:instrText>
      </w:r>
      <w:r>
        <w:rPr>
          <w:rFonts w:hint="eastAsia" w:ascii="宋体" w:hAnsi="宋体" w:cs="宋体"/>
          <w:color w:val="000000" w:themeColor="text1"/>
          <w:sz w:val="24"/>
          <w:szCs w:val="24"/>
        </w:rPr>
        <w:fldChar w:fldCharType="separate"/>
      </w:r>
      <w:r>
        <w:rPr>
          <w:rFonts w:ascii="宋体" w:hAnsi="宋体" w:cs="宋体"/>
          <w:color w:val="000000" w:themeColor="text1"/>
          <w:sz w:val="24"/>
          <w:szCs w:val="24"/>
        </w:rPr>
        <w:t>26</w:t>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fldChar w:fldCharType="end"/>
      </w:r>
    </w:p>
    <w:p w14:paraId="1F64EB7D">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"_Toc30283" </w:instrText>
      </w:r>
      <w:r>
        <w:fldChar w:fldCharType="separate"/>
      </w:r>
      <w:r>
        <w:rPr>
          <w:rFonts w:hint="eastAsia" w:ascii="宋体" w:hAnsi="宋体" w:cs="宋体"/>
          <w:color w:val="000000" w:themeColor="text1"/>
          <w:sz w:val="24"/>
          <w:szCs w:val="24"/>
        </w:rPr>
        <w:t xml:space="preserve">第五章  </w:t>
      </w:r>
      <w:r>
        <w:rPr>
          <w:rFonts w:hint="eastAsia"/>
          <w:bCs/>
          <w:color w:val="000000" w:themeColor="text1"/>
          <w:sz w:val="24"/>
        </w:rPr>
        <w:t>铁路经营场所租赁和服务合同</w:t>
      </w:r>
      <w:r>
        <w:rPr>
          <w:rFonts w:hint="eastAsia" w:ascii="宋体" w:hAnsi="宋体" w:cs="宋体"/>
          <w:color w:val="000000" w:themeColor="text1"/>
          <w:sz w:val="24"/>
          <w:szCs w:val="24"/>
        </w:rPr>
        <w:t>（格式）</w:t>
      </w:r>
      <w:r>
        <w:rPr>
          <w:rFonts w:hint="eastAsia" w:ascii="宋体" w:hAnsi="宋体" w:cs="宋体"/>
          <w:color w:val="000000" w:themeColor="text1"/>
          <w:sz w:val="24"/>
          <w:szCs w:val="24"/>
        </w:rPr>
        <w:tab/>
      </w:r>
      <w:r>
        <w:rPr>
          <w:rFonts w:hint="eastAsia" w:ascii="宋体" w:hAnsi="宋体" w:cs="宋体"/>
          <w:color w:val="000000" w:themeColor="text1"/>
          <w:sz w:val="24"/>
          <w:szCs w:val="24"/>
        </w:rPr>
        <w:t>31</w:t>
      </w:r>
      <w:r>
        <w:rPr>
          <w:rFonts w:hint="eastAsia" w:ascii="宋体" w:hAnsi="宋体" w:cs="宋体"/>
          <w:color w:val="000000" w:themeColor="text1"/>
          <w:sz w:val="24"/>
          <w:szCs w:val="24"/>
        </w:rPr>
        <w:fldChar w:fldCharType="end"/>
      </w:r>
    </w:p>
    <w:p w14:paraId="2E06D169">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"_Toc10810" </w:instrText>
      </w:r>
      <w:r>
        <w:fldChar w:fldCharType="separate"/>
      </w:r>
      <w:r>
        <w:rPr>
          <w:rFonts w:hint="eastAsia" w:ascii="宋体" w:hAnsi="宋体" w:cs="宋体"/>
          <w:color w:val="000000" w:themeColor="text1"/>
          <w:sz w:val="24"/>
          <w:szCs w:val="24"/>
        </w:rPr>
        <w:t>第六章  竞商文件格式</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t>55</w:t>
      </w:r>
    </w:p>
    <w:p w14:paraId="3BBBE650">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"_Toc22608" </w:instrText>
      </w:r>
      <w:r>
        <w:fldChar w:fldCharType="separate"/>
      </w:r>
      <w:r>
        <w:rPr>
          <w:rFonts w:hint="eastAsia" w:ascii="宋体" w:hAnsi="宋体" w:cs="宋体"/>
          <w:color w:val="000000" w:themeColor="text1"/>
          <w:sz w:val="24"/>
          <w:szCs w:val="24"/>
        </w:rPr>
        <w:t>格式1  竞商申请函</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t>56</w:t>
      </w:r>
    </w:p>
    <w:p w14:paraId="406D449F">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"_Toc18848" </w:instrText>
      </w:r>
      <w:r>
        <w:fldChar w:fldCharType="separate"/>
      </w:r>
      <w:r>
        <w:rPr>
          <w:rFonts w:hint="eastAsia" w:ascii="宋体" w:hAnsi="宋体" w:cs="宋体"/>
          <w:color w:val="000000" w:themeColor="text1"/>
          <w:sz w:val="24"/>
          <w:szCs w:val="24"/>
        </w:rPr>
        <w:t>格式2  竞商报价函</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t>58</w:t>
      </w:r>
    </w:p>
    <w:p w14:paraId="7E2C689E">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"_Toc13272" </w:instrText>
      </w:r>
      <w:r>
        <w:fldChar w:fldCharType="separate"/>
      </w:r>
      <w:r>
        <w:rPr>
          <w:rFonts w:hint="eastAsia" w:ascii="宋体" w:hAnsi="宋体" w:cs="宋体"/>
          <w:color w:val="000000" w:themeColor="text1"/>
          <w:sz w:val="24"/>
          <w:szCs w:val="24"/>
        </w:rPr>
        <w:t>格式3  法定代表人证明书和法定代表人授权书</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t>59</w:t>
      </w:r>
    </w:p>
    <w:p w14:paraId="7EF1F42D">
      <w:pPr>
        <w:pStyle w:val="161"/>
        <w:tabs>
          <w:tab w:val="right" w:leader="dot" w:pos="9525"/>
        </w:tabs>
        <w:spacing w:line="276" w:lineRule="auto"/>
        <w:rPr>
          <w:rFonts w:ascii="宋体" w:hAnsi="宋体" w:cs="宋体"/>
          <w:color w:val="000000" w:themeColor="text1"/>
          <w:sz w:val="24"/>
          <w:szCs w:val="24"/>
        </w:rPr>
      </w:pPr>
      <w:bookmarkStart w:id="8" w:name="_Hlt119606247"/>
      <w:r>
        <w:rPr>
          <w:rFonts w:hint="eastAsia" w:ascii="宋体" w:hAnsi="宋体" w:cs="宋体"/>
          <w:color w:val="000000" w:themeColor="text1"/>
          <w:sz w:val="24"/>
          <w:szCs w:val="24"/>
        </w:rPr>
        <w:fldChar w:fldCharType="begin"/>
      </w:r>
      <w:r>
        <w:rPr>
          <w:rFonts w:hint="eastAsia" w:ascii="宋体" w:hAnsi="宋体" w:cs="宋体"/>
          <w:color w:val="000000" w:themeColor="text1"/>
          <w:sz w:val="24"/>
          <w:szCs w:val="24"/>
        </w:rPr>
        <w:instrText xml:space="preserve"> HYPERLINK \l _Toc32614 </w:instrText>
      </w:r>
      <w:r>
        <w:rPr>
          <w:rFonts w:hint="eastAsia" w:ascii="宋体" w:hAnsi="宋体" w:cs="宋体"/>
          <w:color w:val="000000" w:themeColor="text1"/>
          <w:sz w:val="24"/>
          <w:szCs w:val="24"/>
        </w:rPr>
        <w:fldChar w:fldCharType="separate"/>
      </w:r>
      <w:r>
        <w:rPr>
          <w:rFonts w:hint="eastAsia" w:ascii="宋体" w:hAnsi="宋体" w:cs="宋体"/>
          <w:color w:val="000000" w:themeColor="text1"/>
          <w:sz w:val="24"/>
          <w:szCs w:val="24"/>
        </w:rPr>
        <w:t>格式4  保证金</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end"/>
      </w:r>
      <w:bookmarkEnd w:id="8"/>
      <w:r>
        <w:rPr>
          <w:rFonts w:hint="eastAsia" w:ascii="宋体" w:hAnsi="宋体" w:cs="宋体"/>
          <w:color w:val="000000" w:themeColor="text1"/>
          <w:sz w:val="24"/>
          <w:szCs w:val="24"/>
        </w:rPr>
        <w:t>61</w:t>
      </w:r>
    </w:p>
    <w:p w14:paraId="0095F61F">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"_Toc28688" </w:instrText>
      </w:r>
      <w:r>
        <w:fldChar w:fldCharType="separate"/>
      </w:r>
      <w:r>
        <w:rPr>
          <w:rFonts w:hint="eastAsia" w:ascii="宋体" w:hAnsi="宋体" w:cs="宋体"/>
          <w:color w:val="000000" w:themeColor="text1"/>
          <w:sz w:val="24"/>
          <w:szCs w:val="24"/>
        </w:rPr>
        <w:t>格式5  竞商人资格声明</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t>63</w:t>
      </w:r>
    </w:p>
    <w:p w14:paraId="3C28004D">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"_Toc14324" </w:instrText>
      </w:r>
      <w:r>
        <w:fldChar w:fldCharType="separate"/>
      </w:r>
      <w:r>
        <w:rPr>
          <w:rFonts w:hint="eastAsia" w:ascii="宋体" w:hAnsi="宋体" w:cs="宋体"/>
          <w:color w:val="000000" w:themeColor="text1"/>
          <w:sz w:val="24"/>
          <w:szCs w:val="24"/>
        </w:rPr>
        <w:t>格式6  履约证明</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t>65</w:t>
      </w:r>
    </w:p>
    <w:p w14:paraId="1FD5DB3D">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"_Toc29637" </w:instrText>
      </w:r>
      <w:r>
        <w:fldChar w:fldCharType="separate"/>
      </w:r>
      <w:r>
        <w:rPr>
          <w:rFonts w:hint="eastAsia" w:ascii="宋体" w:hAnsi="宋体" w:cs="宋体"/>
          <w:color w:val="000000" w:themeColor="text1"/>
          <w:sz w:val="24"/>
          <w:szCs w:val="24"/>
        </w:rPr>
        <w:t>格式</w:t>
      </w:r>
      <w:r>
        <w:rPr>
          <w:rFonts w:ascii="宋体" w:hAnsi="宋体" w:cs="宋体"/>
          <w:color w:val="000000" w:themeColor="text1"/>
          <w:sz w:val="24"/>
          <w:szCs w:val="24"/>
        </w:rPr>
        <w:t>7</w:t>
      </w:r>
      <w:r>
        <w:rPr>
          <w:rFonts w:hint="eastAsia" w:ascii="宋体" w:hAnsi="宋体" w:cs="宋体"/>
          <w:color w:val="000000" w:themeColor="text1"/>
          <w:sz w:val="24"/>
          <w:szCs w:val="24"/>
        </w:rPr>
        <w:t xml:space="preserve">  本项目经营方案</w:t>
      </w:r>
      <w:r>
        <w:rPr>
          <w:rFonts w:hint="eastAsia" w:ascii="宋体" w:hAnsi="宋体" w:cs="宋体"/>
          <w:color w:val="000000" w:themeColor="text1"/>
          <w:sz w:val="24"/>
          <w:szCs w:val="24"/>
        </w:rPr>
        <w:tab/>
      </w:r>
      <w:r>
        <w:rPr>
          <w:rFonts w:hint="eastAsia" w:ascii="宋体" w:hAnsi="宋体" w:cs="宋体"/>
          <w:color w:val="000000" w:themeColor="text1"/>
          <w:sz w:val="24"/>
          <w:szCs w:val="24"/>
        </w:rPr>
        <w:t>66</w:t>
      </w:r>
      <w:r>
        <w:rPr>
          <w:rFonts w:hint="eastAsia" w:ascii="宋体" w:hAnsi="宋体" w:cs="宋体"/>
          <w:color w:val="000000" w:themeColor="text1"/>
          <w:sz w:val="24"/>
          <w:szCs w:val="24"/>
        </w:rPr>
        <w:fldChar w:fldCharType="end"/>
      </w:r>
    </w:p>
    <w:p w14:paraId="483326F9">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"_Toc7411" </w:instrText>
      </w:r>
      <w:r>
        <w:fldChar w:fldCharType="separate"/>
      </w:r>
      <w:r>
        <w:rPr>
          <w:rFonts w:hint="eastAsia" w:ascii="宋体" w:hAnsi="宋体" w:cs="宋体"/>
          <w:color w:val="000000" w:themeColor="text1"/>
          <w:sz w:val="24"/>
          <w:szCs w:val="24"/>
        </w:rPr>
        <w:t>格式</w:t>
      </w:r>
      <w:r>
        <w:rPr>
          <w:rFonts w:ascii="宋体" w:hAnsi="宋体" w:cs="宋体"/>
          <w:color w:val="000000" w:themeColor="text1"/>
          <w:sz w:val="24"/>
          <w:szCs w:val="24"/>
        </w:rPr>
        <w:t>8</w:t>
      </w:r>
      <w:r>
        <w:rPr>
          <w:rFonts w:hint="eastAsia" w:ascii="宋体" w:hAnsi="宋体" w:cs="宋体"/>
          <w:color w:val="000000" w:themeColor="text1"/>
          <w:sz w:val="24"/>
          <w:szCs w:val="24"/>
        </w:rPr>
        <w:t xml:space="preserve">  声明函</w:t>
      </w:r>
      <w:r>
        <w:rPr>
          <w:rFonts w:hint="eastAsia" w:ascii="宋体" w:hAnsi="宋体" w:cs="宋体"/>
          <w:color w:val="000000" w:themeColor="text1"/>
          <w:sz w:val="24"/>
          <w:szCs w:val="24"/>
        </w:rPr>
        <w:tab/>
      </w:r>
      <w:r>
        <w:rPr>
          <w:rFonts w:hint="eastAsia" w:ascii="宋体" w:hAnsi="宋体" w:cs="宋体"/>
          <w:color w:val="000000" w:themeColor="text1"/>
          <w:sz w:val="24"/>
          <w:szCs w:val="24"/>
        </w:rPr>
        <w:t>67</w:t>
      </w:r>
      <w:r>
        <w:rPr>
          <w:rFonts w:hint="eastAsia" w:ascii="宋体" w:hAnsi="宋体" w:cs="宋体"/>
          <w:color w:val="000000" w:themeColor="text1"/>
          <w:sz w:val="24"/>
          <w:szCs w:val="24"/>
        </w:rPr>
        <w:fldChar w:fldCharType="end"/>
      </w:r>
    </w:p>
    <w:p w14:paraId="3FB57BF6">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"_Toc17713" </w:instrText>
      </w:r>
      <w:r>
        <w:fldChar w:fldCharType="separate"/>
      </w:r>
      <w:r>
        <w:rPr>
          <w:rFonts w:hint="eastAsia" w:ascii="宋体" w:hAnsi="宋体" w:cs="宋体"/>
          <w:color w:val="000000" w:themeColor="text1"/>
          <w:sz w:val="24"/>
          <w:szCs w:val="24"/>
        </w:rPr>
        <w:t>格式</w:t>
      </w:r>
      <w:r>
        <w:rPr>
          <w:rFonts w:ascii="宋体" w:hAnsi="宋体" w:cs="宋体"/>
          <w:color w:val="000000" w:themeColor="text1"/>
          <w:sz w:val="24"/>
          <w:szCs w:val="24"/>
        </w:rPr>
        <w:t>9</w:t>
      </w:r>
      <w:r>
        <w:rPr>
          <w:rFonts w:hint="eastAsia" w:ascii="宋体" w:hAnsi="宋体" w:cs="宋体"/>
          <w:color w:val="000000" w:themeColor="text1"/>
          <w:sz w:val="24"/>
          <w:szCs w:val="24"/>
        </w:rPr>
        <w:t xml:space="preserve">  近年财务状况表</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t>68</w:t>
      </w:r>
    </w:p>
    <w:p w14:paraId="2CE13E85">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"_Toc29711" </w:instrText>
      </w:r>
      <w:r>
        <w:fldChar w:fldCharType="separate"/>
      </w:r>
      <w:r>
        <w:rPr>
          <w:rFonts w:hint="eastAsia" w:ascii="宋体" w:hAnsi="宋体" w:cs="宋体"/>
          <w:color w:val="000000" w:themeColor="text1"/>
          <w:sz w:val="24"/>
          <w:szCs w:val="24"/>
        </w:rPr>
        <w:t>格式</w:t>
      </w:r>
      <w:r>
        <w:rPr>
          <w:rFonts w:ascii="宋体" w:hAnsi="宋体" w:cs="宋体"/>
          <w:color w:val="000000" w:themeColor="text1"/>
          <w:sz w:val="24"/>
          <w:szCs w:val="24"/>
        </w:rPr>
        <w:t>10</w:t>
      </w:r>
      <w:r>
        <w:rPr>
          <w:rFonts w:hint="eastAsia" w:ascii="宋体" w:hAnsi="宋体" w:cs="宋体"/>
          <w:color w:val="000000" w:themeColor="text1"/>
          <w:sz w:val="24"/>
          <w:szCs w:val="24"/>
        </w:rPr>
        <w:t xml:space="preserve"> 国家企业信用信息公示系统或“信用中国”或中国执行信息公开网查询结果</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t>69</w:t>
      </w:r>
    </w:p>
    <w:p w14:paraId="1A755E9D">
      <w:pPr>
        <w:pStyle w:val="161"/>
        <w:tabs>
          <w:tab w:val="right" w:leader="dot" w:pos="9525"/>
        </w:tabs>
        <w:spacing w:line="276" w:lineRule="auto"/>
        <w:rPr>
          <w:rFonts w:ascii="宋体" w:hAnsi="宋体" w:cs="宋体"/>
          <w:color w:val="000000" w:themeColor="text1"/>
          <w:sz w:val="24"/>
          <w:szCs w:val="24"/>
        </w:rPr>
      </w:pPr>
      <w:r>
        <w:fldChar w:fldCharType="begin"/>
      </w:r>
      <w:r>
        <w:instrText xml:space="preserve"> HYPERLINK \l "_Toc30686" </w:instrText>
      </w:r>
      <w:r>
        <w:fldChar w:fldCharType="separate"/>
      </w:r>
      <w:r>
        <w:rPr>
          <w:rFonts w:hint="eastAsia" w:ascii="宋体" w:hAnsi="宋体" w:cs="宋体"/>
          <w:color w:val="000000" w:themeColor="text1"/>
          <w:sz w:val="24"/>
          <w:szCs w:val="24"/>
        </w:rPr>
        <w:t>格式1</w:t>
      </w:r>
      <w:r>
        <w:rPr>
          <w:rFonts w:ascii="宋体" w:hAnsi="宋体" w:cs="宋体"/>
          <w:color w:val="000000" w:themeColor="text1"/>
          <w:sz w:val="24"/>
          <w:szCs w:val="24"/>
        </w:rPr>
        <w:t>1</w:t>
      </w:r>
      <w:r>
        <w:rPr>
          <w:rFonts w:hint="eastAsia" w:ascii="宋体" w:hAnsi="宋体" w:cs="宋体"/>
          <w:color w:val="000000" w:themeColor="text1"/>
          <w:sz w:val="24"/>
          <w:szCs w:val="24"/>
        </w:rPr>
        <w:t xml:space="preserve"> 其他</w:t>
      </w:r>
      <w:bookmarkStart w:id="9" w:name="_Hlt110247900"/>
      <w:bookmarkStart w:id="10" w:name="_Hlt110247901"/>
      <w:r>
        <w:rPr>
          <w:rFonts w:hint="eastAsia" w:ascii="宋体" w:hAnsi="宋体" w:cs="宋体"/>
          <w:color w:val="000000" w:themeColor="text1"/>
          <w:sz w:val="24"/>
          <w:szCs w:val="24"/>
        </w:rPr>
        <w:t>材</w:t>
      </w:r>
      <w:bookmarkEnd w:id="9"/>
      <w:bookmarkEnd w:id="10"/>
      <w:r>
        <w:rPr>
          <w:rFonts w:hint="eastAsia" w:ascii="宋体" w:hAnsi="宋体" w:cs="宋体"/>
          <w:color w:val="000000" w:themeColor="text1"/>
          <w:sz w:val="24"/>
          <w:szCs w:val="24"/>
        </w:rPr>
        <w:t>料</w:t>
      </w:r>
      <w:r>
        <w:rPr>
          <w:rFonts w:hint="eastAsia" w:ascii="宋体" w:hAnsi="宋体" w:cs="宋体"/>
          <w:color w:val="000000" w:themeColor="text1"/>
          <w:sz w:val="24"/>
          <w:szCs w:val="24"/>
        </w:rPr>
        <w:tab/>
      </w:r>
      <w:r>
        <w:rPr>
          <w:rFonts w:hint="eastAsia" w:ascii="宋体" w:hAnsi="宋体" w:cs="宋体"/>
          <w:color w:val="000000" w:themeColor="text1"/>
          <w:sz w:val="24"/>
          <w:szCs w:val="24"/>
        </w:rPr>
        <w:fldChar w:fldCharType="end"/>
      </w:r>
      <w:r>
        <w:rPr>
          <w:rFonts w:hint="eastAsia" w:ascii="宋体" w:hAnsi="宋体" w:cs="宋体"/>
          <w:color w:val="000000" w:themeColor="text1"/>
          <w:sz w:val="24"/>
          <w:szCs w:val="24"/>
        </w:rPr>
        <w:t>70</w:t>
      </w:r>
    </w:p>
    <w:p w14:paraId="01D5F035">
      <w:pPr>
        <w:spacing w:line="360" w:lineRule="auto"/>
        <w:jc w:val="center"/>
        <w:rPr>
          <w:rFonts w:ascii="宋体" w:hAnsi="宋体" w:cs="宋体"/>
          <w:color w:val="000000" w:themeColor="text1"/>
        </w:rPr>
      </w:pPr>
      <w:r>
        <w:rPr>
          <w:rFonts w:hint="eastAsia" w:ascii="宋体" w:hAnsi="宋体" w:cs="宋体"/>
          <w:color w:val="000000" w:themeColor="text1"/>
        </w:rPr>
        <w:fldChar w:fldCharType="end"/>
      </w:r>
    </w:p>
    <w:p w14:paraId="0B9B8487">
      <w:pPr>
        <w:spacing w:line="360" w:lineRule="auto"/>
        <w:rPr>
          <w:color w:val="000000" w:themeColor="text1"/>
        </w:rPr>
      </w:pPr>
      <w:r>
        <w:rPr>
          <w:color w:val="000000" w:themeColor="text1"/>
        </w:rPr>
        <w:fldChar w:fldCharType="end"/>
      </w:r>
    </w:p>
    <w:p w14:paraId="4AC9D740">
      <w:pPr>
        <w:rPr>
          <w:color w:val="000000" w:themeColor="text1"/>
        </w:rPr>
      </w:pPr>
    </w:p>
    <w:p w14:paraId="5C57B1B0">
      <w:pPr>
        <w:spacing w:line="360" w:lineRule="auto"/>
        <w:ind w:firstLine="240" w:firstLineChars="100"/>
        <w:jc w:val="right"/>
        <w:rPr>
          <w:color w:val="000000" w:themeColor="text1"/>
        </w:rPr>
      </w:pPr>
    </w:p>
    <w:p w14:paraId="71DB8EA6">
      <w:pPr>
        <w:spacing w:line="360" w:lineRule="auto"/>
        <w:ind w:firstLine="240" w:firstLineChars="100"/>
        <w:jc w:val="right"/>
        <w:rPr>
          <w:color w:val="000000" w:themeColor="text1"/>
        </w:rPr>
      </w:pPr>
    </w:p>
    <w:p w14:paraId="2EA2A91F">
      <w:pPr>
        <w:spacing w:line="360" w:lineRule="auto"/>
        <w:ind w:firstLine="240" w:firstLineChars="100"/>
        <w:jc w:val="right"/>
        <w:rPr>
          <w:color w:val="000000" w:themeColor="text1"/>
        </w:rPr>
      </w:pPr>
    </w:p>
    <w:p w14:paraId="296EDCD8">
      <w:pPr>
        <w:spacing w:line="360" w:lineRule="auto"/>
        <w:ind w:firstLine="240" w:firstLineChars="100"/>
        <w:jc w:val="right"/>
        <w:rPr>
          <w:color w:val="000000" w:themeColor="text1"/>
        </w:rPr>
      </w:pPr>
    </w:p>
    <w:p w14:paraId="5E8A9497">
      <w:pPr>
        <w:spacing w:line="360" w:lineRule="auto"/>
        <w:ind w:firstLine="240" w:firstLineChars="100"/>
        <w:jc w:val="right"/>
        <w:rPr>
          <w:color w:val="000000" w:themeColor="text1"/>
        </w:rPr>
      </w:pPr>
    </w:p>
    <w:p w14:paraId="5182ABD3">
      <w:pPr>
        <w:spacing w:line="360" w:lineRule="auto"/>
        <w:ind w:right="480"/>
        <w:rPr>
          <w:color w:val="000000" w:themeColor="text1"/>
        </w:rPr>
      </w:pPr>
    </w:p>
    <w:p w14:paraId="161EB063">
      <w:pPr>
        <w:spacing w:line="360" w:lineRule="auto"/>
        <w:ind w:firstLine="240" w:firstLineChars="100"/>
        <w:jc w:val="right"/>
        <w:rPr>
          <w:rFonts w:hint="default" w:eastAsia="宋体"/>
          <w:color w:val="000000" w:themeColor="text1"/>
          <w:lang w:val="en-US" w:eastAsia="zh-CN"/>
        </w:rPr>
      </w:pPr>
      <w:r>
        <w:rPr>
          <w:color w:val="000000" w:themeColor="text1"/>
        </w:rPr>
        <w:t>招</w:t>
      </w:r>
      <w:r>
        <w:rPr>
          <w:color w:val="auto"/>
        </w:rPr>
        <w:t>商编号：SL-</w:t>
      </w:r>
      <w:r>
        <w:rPr>
          <w:rFonts w:hint="eastAsia"/>
          <w:color w:val="auto"/>
          <w:lang w:val="en-US" w:eastAsia="zh-CN"/>
        </w:rPr>
        <w:t>2025</w:t>
      </w:r>
      <w:r>
        <w:rPr>
          <w:color w:val="auto"/>
        </w:rPr>
        <w:t>-</w:t>
      </w:r>
      <w:r>
        <w:rPr>
          <w:rFonts w:hint="eastAsia"/>
          <w:color w:val="auto"/>
          <w:lang w:val="en-US" w:eastAsia="zh-CN"/>
        </w:rPr>
        <w:t>9</w:t>
      </w:r>
      <w:r>
        <w:rPr>
          <w:color w:val="auto"/>
        </w:rPr>
        <w:t>-</w:t>
      </w:r>
      <w:r>
        <w:rPr>
          <w:rFonts w:hint="eastAsia"/>
          <w:color w:val="auto"/>
          <w:lang w:val="en-US" w:eastAsia="zh-CN"/>
        </w:rPr>
        <w:t>25</w:t>
      </w:r>
    </w:p>
    <w:p w14:paraId="3095EC25">
      <w:pPr>
        <w:spacing w:line="360" w:lineRule="auto"/>
        <w:ind w:firstLine="7440"/>
        <w:rPr>
          <w:color w:val="000000" w:themeColor="text1"/>
        </w:rPr>
      </w:pPr>
    </w:p>
    <w:p w14:paraId="2B0186CF">
      <w:pPr>
        <w:spacing w:line="360" w:lineRule="auto"/>
        <w:rPr>
          <w:color w:val="000000" w:themeColor="text1"/>
        </w:rPr>
      </w:pPr>
    </w:p>
    <w:p w14:paraId="70EE33D8">
      <w:pPr>
        <w:pStyle w:val="22"/>
        <w:snapToGrid w:val="0"/>
        <w:spacing w:beforeLines="70" w:afterLines="50" w:line="360" w:lineRule="exact"/>
        <w:ind w:left="0" w:leftChars="0" w:right="72"/>
        <w:rPr>
          <w:rFonts w:ascii="Times New Roman" w:hAnsi="Times New Roman"/>
          <w:color w:val="000000" w:themeColor="text1"/>
          <w:sz w:val="44"/>
          <w:szCs w:val="44"/>
        </w:rPr>
      </w:pPr>
      <w:bookmarkStart w:id="11" w:name="_Toc433369458"/>
      <w:bookmarkStart w:id="12" w:name="_Toc31146"/>
      <w:r>
        <w:rPr>
          <w:rFonts w:ascii="Times New Roman" w:hAnsi="Times New Roman"/>
          <w:color w:val="000000" w:themeColor="text1"/>
          <w:sz w:val="44"/>
          <w:szCs w:val="44"/>
        </w:rPr>
        <w:t>第一章</w:t>
      </w:r>
      <w:bookmarkEnd w:id="11"/>
      <w:bookmarkEnd w:id="12"/>
      <w:r>
        <w:rPr>
          <w:rFonts w:hint="eastAsia" w:ascii="Times New Roman" w:hAnsi="Times New Roman"/>
          <w:color w:val="000000" w:themeColor="text1"/>
          <w:sz w:val="44"/>
          <w:szCs w:val="44"/>
        </w:rPr>
        <w:t>招商公告</w:t>
      </w:r>
    </w:p>
    <w:p w14:paraId="5FC14E0A">
      <w:pPr>
        <w:pStyle w:val="22"/>
        <w:snapToGrid w:val="0"/>
        <w:spacing w:beforeLines="70" w:afterLines="50" w:line="360" w:lineRule="exact"/>
        <w:ind w:left="0" w:leftChars="0" w:right="72"/>
        <w:rPr>
          <w:rFonts w:ascii="Times New Roman" w:hAnsi="Times New Roman"/>
          <w:color w:val="000000" w:themeColor="text1"/>
        </w:rPr>
      </w:pPr>
    </w:p>
    <w:p w14:paraId="6E0F4123">
      <w:pPr>
        <w:pStyle w:val="22"/>
        <w:snapToGrid w:val="0"/>
        <w:spacing w:beforeLines="70" w:afterLines="50" w:line="360" w:lineRule="exact"/>
        <w:ind w:left="0" w:leftChars="0" w:right="72"/>
        <w:rPr>
          <w:rFonts w:ascii="Times New Roman" w:hAnsi="Times New Roman"/>
          <w:color w:val="000000" w:themeColor="text1"/>
        </w:rPr>
      </w:pPr>
    </w:p>
    <w:p w14:paraId="2CDD4015">
      <w:pPr>
        <w:pStyle w:val="22"/>
        <w:snapToGrid w:val="0"/>
        <w:spacing w:beforeLines="70" w:afterLines="50" w:line="360" w:lineRule="exact"/>
        <w:ind w:left="0" w:leftChars="0" w:right="72"/>
        <w:rPr>
          <w:rFonts w:ascii="Times New Roman" w:hAnsi="Times New Roman"/>
          <w:color w:val="000000" w:themeColor="text1"/>
        </w:rPr>
      </w:pPr>
    </w:p>
    <w:p w14:paraId="2793E270">
      <w:pPr>
        <w:pStyle w:val="22"/>
        <w:snapToGrid w:val="0"/>
        <w:spacing w:beforeLines="70" w:afterLines="50" w:line="360" w:lineRule="exact"/>
        <w:ind w:left="0" w:leftChars="0" w:right="72"/>
        <w:rPr>
          <w:rFonts w:ascii="Times New Roman" w:hAnsi="Times New Roman"/>
          <w:color w:val="000000" w:themeColor="text1"/>
        </w:rPr>
      </w:pPr>
    </w:p>
    <w:p w14:paraId="63388E61">
      <w:pPr>
        <w:pStyle w:val="22"/>
        <w:snapToGrid w:val="0"/>
        <w:spacing w:beforeLines="70" w:afterLines="50" w:line="360" w:lineRule="exact"/>
        <w:ind w:left="0" w:leftChars="0" w:right="72"/>
        <w:rPr>
          <w:rFonts w:ascii="Times New Roman" w:hAnsi="Times New Roman"/>
          <w:color w:val="000000" w:themeColor="text1"/>
        </w:rPr>
      </w:pPr>
    </w:p>
    <w:p w14:paraId="0FA7F179">
      <w:pPr>
        <w:pStyle w:val="22"/>
        <w:snapToGrid w:val="0"/>
        <w:spacing w:beforeLines="70" w:afterLines="50" w:line="360" w:lineRule="exact"/>
        <w:ind w:left="0" w:leftChars="0" w:right="72"/>
        <w:rPr>
          <w:rFonts w:ascii="Times New Roman" w:hAnsi="Times New Roman"/>
          <w:color w:val="000000" w:themeColor="text1"/>
        </w:rPr>
      </w:pPr>
    </w:p>
    <w:p w14:paraId="29C44F8D">
      <w:pPr>
        <w:pStyle w:val="22"/>
        <w:snapToGrid w:val="0"/>
        <w:spacing w:beforeLines="70" w:afterLines="50" w:line="360" w:lineRule="exact"/>
        <w:ind w:left="0" w:leftChars="0" w:right="72"/>
        <w:rPr>
          <w:rFonts w:ascii="Times New Roman" w:hAnsi="Times New Roman"/>
          <w:color w:val="000000" w:themeColor="text1"/>
        </w:rPr>
      </w:pPr>
    </w:p>
    <w:p w14:paraId="0E307924">
      <w:pPr>
        <w:pStyle w:val="22"/>
        <w:snapToGrid w:val="0"/>
        <w:spacing w:beforeLines="70" w:afterLines="50" w:line="360" w:lineRule="exact"/>
        <w:ind w:left="0" w:leftChars="0" w:right="72"/>
        <w:rPr>
          <w:rFonts w:ascii="Times New Roman" w:hAnsi="Times New Roman"/>
          <w:color w:val="000000" w:themeColor="text1"/>
        </w:rPr>
      </w:pPr>
    </w:p>
    <w:p w14:paraId="7C45ED32">
      <w:pPr>
        <w:pStyle w:val="22"/>
        <w:snapToGrid w:val="0"/>
        <w:spacing w:beforeLines="70" w:afterLines="50" w:line="360" w:lineRule="exact"/>
        <w:ind w:left="0" w:leftChars="0" w:right="72"/>
        <w:rPr>
          <w:rFonts w:ascii="Times New Roman" w:hAnsi="Times New Roman"/>
          <w:color w:val="000000" w:themeColor="text1"/>
        </w:rPr>
      </w:pPr>
    </w:p>
    <w:p w14:paraId="0DF24CFD">
      <w:pPr>
        <w:pStyle w:val="22"/>
        <w:snapToGrid w:val="0"/>
        <w:spacing w:beforeLines="70" w:afterLines="50" w:line="360" w:lineRule="exact"/>
        <w:ind w:left="0" w:leftChars="0" w:right="72"/>
        <w:rPr>
          <w:rFonts w:ascii="Times New Roman" w:hAnsi="Times New Roman"/>
          <w:color w:val="000000" w:themeColor="text1"/>
        </w:rPr>
      </w:pPr>
    </w:p>
    <w:p w14:paraId="68FB8378">
      <w:pPr>
        <w:pStyle w:val="22"/>
        <w:snapToGrid w:val="0"/>
        <w:spacing w:beforeLines="70" w:afterLines="50" w:line="360" w:lineRule="exact"/>
        <w:ind w:left="0" w:leftChars="0" w:right="72"/>
        <w:rPr>
          <w:rFonts w:ascii="Times New Roman" w:hAnsi="Times New Roman"/>
          <w:color w:val="000000" w:themeColor="text1"/>
        </w:rPr>
      </w:pPr>
    </w:p>
    <w:p w14:paraId="34D67AB3">
      <w:pPr>
        <w:pStyle w:val="22"/>
        <w:snapToGrid w:val="0"/>
        <w:spacing w:beforeLines="70" w:afterLines="50" w:line="360" w:lineRule="exact"/>
        <w:ind w:left="0" w:leftChars="0" w:right="72"/>
        <w:rPr>
          <w:rFonts w:ascii="Times New Roman" w:hAnsi="Times New Roman"/>
          <w:color w:val="000000" w:themeColor="text1"/>
        </w:rPr>
      </w:pPr>
    </w:p>
    <w:p w14:paraId="00EBF5A2">
      <w:pPr>
        <w:pStyle w:val="22"/>
        <w:snapToGrid w:val="0"/>
        <w:spacing w:beforeLines="70" w:afterLines="50" w:line="360" w:lineRule="exact"/>
        <w:ind w:left="0" w:leftChars="0" w:right="72"/>
        <w:rPr>
          <w:rFonts w:ascii="Times New Roman" w:hAnsi="Times New Roman"/>
          <w:color w:val="000000" w:themeColor="text1"/>
        </w:rPr>
      </w:pPr>
    </w:p>
    <w:p w14:paraId="09A95FB5">
      <w:pPr>
        <w:pStyle w:val="22"/>
        <w:snapToGrid w:val="0"/>
        <w:spacing w:beforeLines="70" w:afterLines="50" w:line="360" w:lineRule="exact"/>
        <w:ind w:left="0" w:leftChars="0" w:right="72"/>
        <w:rPr>
          <w:rFonts w:ascii="Times New Roman" w:hAnsi="Times New Roman"/>
          <w:color w:val="000000" w:themeColor="text1"/>
        </w:rPr>
      </w:pPr>
    </w:p>
    <w:p w14:paraId="5CD9625A">
      <w:pPr>
        <w:pStyle w:val="22"/>
        <w:snapToGrid w:val="0"/>
        <w:spacing w:beforeLines="70" w:afterLines="50" w:line="360" w:lineRule="exact"/>
        <w:ind w:left="0" w:leftChars="0" w:right="72"/>
        <w:rPr>
          <w:rFonts w:ascii="Times New Roman" w:hAnsi="Times New Roman"/>
          <w:color w:val="000000" w:themeColor="text1"/>
        </w:rPr>
      </w:pPr>
    </w:p>
    <w:p w14:paraId="514D3ADB">
      <w:pPr>
        <w:pStyle w:val="22"/>
        <w:snapToGrid w:val="0"/>
        <w:spacing w:beforeLines="70" w:afterLines="50" w:line="360" w:lineRule="exact"/>
        <w:ind w:left="0" w:leftChars="0" w:right="72"/>
        <w:rPr>
          <w:rFonts w:ascii="Times New Roman" w:hAnsi="Times New Roman"/>
          <w:color w:val="000000" w:themeColor="text1"/>
        </w:rPr>
      </w:pPr>
    </w:p>
    <w:p w14:paraId="2014A506">
      <w:pPr>
        <w:pStyle w:val="22"/>
        <w:snapToGrid w:val="0"/>
        <w:spacing w:beforeLines="70" w:afterLines="50" w:line="360" w:lineRule="exact"/>
        <w:ind w:left="0" w:leftChars="0" w:right="72"/>
        <w:rPr>
          <w:rFonts w:ascii="Times New Roman" w:hAnsi="Times New Roman"/>
          <w:color w:val="000000" w:themeColor="text1"/>
        </w:rPr>
      </w:pPr>
    </w:p>
    <w:p w14:paraId="146FE323">
      <w:pPr>
        <w:pStyle w:val="22"/>
        <w:snapToGrid w:val="0"/>
        <w:spacing w:beforeLines="70" w:afterLines="50" w:line="360" w:lineRule="exact"/>
        <w:ind w:left="0" w:leftChars="0" w:right="72"/>
        <w:rPr>
          <w:rFonts w:ascii="Times New Roman" w:hAnsi="Times New Roman"/>
          <w:color w:val="000000" w:themeColor="text1"/>
        </w:rPr>
      </w:pPr>
    </w:p>
    <w:p w14:paraId="71EC1CEE">
      <w:pPr>
        <w:pStyle w:val="22"/>
        <w:snapToGrid w:val="0"/>
        <w:spacing w:beforeLines="70" w:afterLines="50" w:line="360" w:lineRule="exact"/>
        <w:ind w:left="0" w:leftChars="0" w:right="72"/>
        <w:rPr>
          <w:rFonts w:ascii="Times New Roman" w:hAnsi="Times New Roman"/>
          <w:color w:val="000000" w:themeColor="text1"/>
        </w:rPr>
      </w:pPr>
    </w:p>
    <w:p w14:paraId="7491A442">
      <w:pPr>
        <w:pStyle w:val="22"/>
        <w:snapToGrid w:val="0"/>
        <w:spacing w:beforeLines="70" w:afterLines="50" w:line="360" w:lineRule="exact"/>
        <w:ind w:left="0" w:leftChars="0" w:right="72"/>
        <w:rPr>
          <w:rFonts w:ascii="Times New Roman" w:hAnsi="Times New Roman"/>
          <w:color w:val="000000" w:themeColor="text1"/>
        </w:rPr>
      </w:pPr>
    </w:p>
    <w:p w14:paraId="0F726915">
      <w:pPr>
        <w:pStyle w:val="22"/>
        <w:snapToGrid w:val="0"/>
        <w:spacing w:beforeLines="70" w:afterLines="50" w:line="360" w:lineRule="exact"/>
        <w:ind w:left="0" w:leftChars="0" w:right="72"/>
        <w:rPr>
          <w:rFonts w:ascii="Times New Roman" w:hAnsi="Times New Roman"/>
          <w:color w:val="000000" w:themeColor="text1"/>
        </w:rPr>
      </w:pPr>
    </w:p>
    <w:p w14:paraId="063DF67A">
      <w:pPr>
        <w:pStyle w:val="63"/>
        <w:ind w:firstLine="420"/>
        <w:rPr>
          <w:color w:val="000000" w:themeColor="text1"/>
        </w:rPr>
      </w:pPr>
    </w:p>
    <w:p w14:paraId="64DBB85C">
      <w:pPr>
        <w:pStyle w:val="63"/>
        <w:ind w:firstLine="0" w:firstLineChars="0"/>
        <w:rPr>
          <w:rFonts w:ascii="Times New Roman"/>
          <w:color w:val="000000" w:themeColor="text1"/>
          <w:sz w:val="52"/>
          <w:szCs w:val="52"/>
        </w:rPr>
      </w:pPr>
    </w:p>
    <w:p w14:paraId="594374AA">
      <w:pPr>
        <w:spacing w:line="600" w:lineRule="exact"/>
        <w:jc w:val="center"/>
        <w:rPr>
          <w:rFonts w:hint="eastAsia" w:ascii="黑体" w:hAnsi="黑体"/>
          <w:b/>
          <w:bCs/>
          <w:color w:val="000000" w:themeColor="text1"/>
          <w:sz w:val="36"/>
          <w:szCs w:val="36"/>
        </w:rPr>
      </w:pPr>
      <w:bookmarkStart w:id="1445" w:name="_GoBack"/>
      <w:r>
        <w:rPr>
          <w:rFonts w:hint="eastAsia" w:ascii="黑体" w:hAnsi="黑体"/>
          <w:b/>
          <w:bCs/>
          <w:color w:val="000000" w:themeColor="text1"/>
          <w:sz w:val="36"/>
          <w:szCs w:val="36"/>
        </w:rPr>
        <w:t>上海铁路文旅传媒集团有限公司</w:t>
      </w:r>
      <w:bookmarkStart w:id="13" w:name="OLE_LINK16"/>
      <w:bookmarkStart w:id="14" w:name="OLE_LINK6"/>
      <w:r>
        <w:rPr>
          <w:rFonts w:hint="eastAsia" w:ascii="黑体" w:hAnsi="黑体"/>
          <w:b/>
          <w:bCs/>
          <w:color w:val="000000" w:themeColor="text1"/>
          <w:sz w:val="36"/>
          <w:szCs w:val="36"/>
          <w:lang w:eastAsia="zh-CN"/>
        </w:rPr>
        <w:t>合肥南站商业VIP厅项</w:t>
      </w:r>
      <w:r>
        <w:rPr>
          <w:rFonts w:hint="eastAsia" w:ascii="黑体" w:hAnsi="黑体"/>
          <w:b/>
          <w:bCs/>
          <w:color w:val="000000" w:themeColor="text1"/>
          <w:sz w:val="36"/>
          <w:szCs w:val="36"/>
        </w:rPr>
        <w:t>目</w:t>
      </w:r>
      <w:bookmarkEnd w:id="13"/>
      <w:bookmarkEnd w:id="14"/>
    </w:p>
    <w:p w14:paraId="2B2F8BCD">
      <w:pPr>
        <w:spacing w:line="600" w:lineRule="exact"/>
        <w:jc w:val="center"/>
        <w:rPr>
          <w:rFonts w:hint="eastAsia" w:ascii="黑体" w:hAnsi="黑体"/>
          <w:b/>
          <w:bCs/>
          <w:color w:val="000000" w:themeColor="text1"/>
          <w:sz w:val="36"/>
          <w:szCs w:val="36"/>
        </w:rPr>
      </w:pPr>
      <w:r>
        <w:rPr>
          <w:rFonts w:hint="eastAsia" w:ascii="黑体" w:hAnsi="黑体"/>
          <w:b/>
          <w:bCs/>
          <w:color w:val="000000" w:themeColor="text1"/>
          <w:sz w:val="36"/>
          <w:szCs w:val="36"/>
        </w:rPr>
        <w:t>招商公告</w:t>
      </w:r>
    </w:p>
    <w:p w14:paraId="35C0772F">
      <w:pPr>
        <w:pStyle w:val="22"/>
        <w:snapToGrid w:val="0"/>
        <w:spacing w:beforeLines="70" w:afterLines="50" w:line="500" w:lineRule="exact"/>
        <w:ind w:left="29" w:leftChars="12" w:right="72" w:firstLine="480" w:firstLineChars="200"/>
        <w:jc w:val="left"/>
        <w:rPr>
          <w:rFonts w:ascii="Times New Roman" w:hAnsi="Times New Roman" w:eastAsia="宋体"/>
          <w:bCs/>
          <w:color w:val="000000" w:themeColor="text1"/>
          <w:sz w:val="24"/>
          <w:highlight w:val="none"/>
        </w:rPr>
      </w:pPr>
      <w:r>
        <w:rPr>
          <w:rFonts w:hint="eastAsia" w:ascii="Times New Roman" w:hAnsi="Times New Roman" w:eastAsia="宋体"/>
          <w:bCs/>
          <w:color w:val="000000" w:themeColor="text1"/>
          <w:sz w:val="24"/>
        </w:rPr>
        <w:t>上海铁路文旅传媒集团有限公司（以下简称</w:t>
      </w:r>
      <w:r>
        <w:rPr>
          <w:rFonts w:ascii="Times New Roman" w:hAnsi="Times New Roman" w:eastAsia="宋体"/>
          <w:bCs/>
          <w:color w:val="000000" w:themeColor="text1"/>
          <w:sz w:val="24"/>
        </w:rPr>
        <w:t>“</w:t>
      </w:r>
      <w:r>
        <w:rPr>
          <w:rFonts w:hint="eastAsia" w:ascii="Times New Roman" w:hAnsi="Times New Roman" w:eastAsia="宋体"/>
          <w:bCs/>
          <w:color w:val="000000" w:themeColor="text1"/>
          <w:sz w:val="24"/>
        </w:rPr>
        <w:t>招商人</w:t>
      </w:r>
      <w:r>
        <w:rPr>
          <w:rFonts w:ascii="Times New Roman" w:hAnsi="Times New Roman" w:eastAsia="宋体"/>
          <w:bCs/>
          <w:color w:val="000000" w:themeColor="text1"/>
          <w:sz w:val="24"/>
        </w:rPr>
        <w:t>”</w:t>
      </w:r>
      <w:r>
        <w:rPr>
          <w:rFonts w:hint="eastAsia" w:ascii="Times New Roman" w:hAnsi="Times New Roman" w:eastAsia="宋体"/>
          <w:bCs/>
          <w:color w:val="000000" w:themeColor="text1"/>
          <w:sz w:val="24"/>
        </w:rPr>
        <w:t>）经授权，将</w:t>
      </w:r>
      <w:r>
        <w:rPr>
          <w:rFonts w:hint="eastAsia" w:ascii="Times New Roman" w:hAnsi="Times New Roman" w:eastAsia="宋体"/>
          <w:bCs/>
          <w:color w:val="auto"/>
          <w:sz w:val="24"/>
          <w:highlight w:val="none"/>
        </w:rPr>
        <w:t>从</w:t>
      </w:r>
      <w:r>
        <w:rPr>
          <w:rFonts w:hint="eastAsia" w:ascii="宋体" w:hAnsi="宋体" w:eastAsia="宋体"/>
          <w:bCs/>
          <w:color w:val="auto"/>
          <w:sz w:val="24"/>
          <w:highlight w:val="none"/>
          <w:u w:val="single"/>
        </w:rPr>
        <w:t xml:space="preserve"> </w:t>
      </w:r>
      <w:r>
        <w:rPr>
          <w:rFonts w:hint="eastAsia" w:ascii="宋体" w:hAnsi="宋体" w:eastAsia="宋体"/>
          <w:bCs/>
          <w:color w:val="auto"/>
          <w:sz w:val="24"/>
          <w:highlight w:val="none"/>
          <w:u w:val="single"/>
          <w:lang w:val="en-US" w:eastAsia="zh-CN"/>
        </w:rPr>
        <w:t>2025</w:t>
      </w:r>
      <w:r>
        <w:rPr>
          <w:rFonts w:hint="eastAsia" w:ascii="宋体" w:hAnsi="宋体" w:eastAsia="宋体"/>
          <w:bCs/>
          <w:color w:val="auto"/>
          <w:sz w:val="24"/>
          <w:highlight w:val="none"/>
          <w:u w:val="single"/>
        </w:rPr>
        <w:t>年</w:t>
      </w:r>
      <w:r>
        <w:rPr>
          <w:rFonts w:hint="eastAsia" w:ascii="宋体" w:hAnsi="宋体" w:eastAsia="宋体"/>
          <w:bCs/>
          <w:color w:val="auto"/>
          <w:sz w:val="24"/>
          <w:highlight w:val="none"/>
          <w:u w:val="single"/>
          <w:lang w:val="en-US" w:eastAsia="zh-CN"/>
        </w:rPr>
        <w:t>9</w:t>
      </w:r>
      <w:r>
        <w:rPr>
          <w:rFonts w:hint="eastAsia" w:ascii="宋体" w:hAnsi="宋体" w:eastAsia="宋体"/>
          <w:bCs/>
          <w:color w:val="auto"/>
          <w:sz w:val="24"/>
          <w:highlight w:val="none"/>
          <w:u w:val="single"/>
        </w:rPr>
        <w:t>月</w:t>
      </w:r>
      <w:r>
        <w:rPr>
          <w:rFonts w:hint="eastAsia" w:ascii="宋体" w:hAnsi="宋体" w:eastAsia="宋体"/>
          <w:bCs/>
          <w:color w:val="auto"/>
          <w:sz w:val="24"/>
          <w:highlight w:val="none"/>
          <w:u w:val="single"/>
          <w:lang w:val="en-US" w:eastAsia="zh-CN"/>
        </w:rPr>
        <w:t>25</w:t>
      </w:r>
      <w:r>
        <w:rPr>
          <w:rFonts w:hint="eastAsia" w:ascii="宋体" w:hAnsi="宋体" w:eastAsia="宋体"/>
          <w:bCs/>
          <w:color w:val="auto"/>
          <w:sz w:val="24"/>
          <w:highlight w:val="none"/>
          <w:u w:val="single"/>
        </w:rPr>
        <w:t>日</w:t>
      </w:r>
      <w:r>
        <w:rPr>
          <w:rFonts w:hint="eastAsia" w:ascii="宋体" w:hAnsi="宋体" w:eastAsia="宋体"/>
          <w:bCs/>
          <w:color w:val="auto"/>
          <w:sz w:val="24"/>
          <w:highlight w:val="none"/>
        </w:rPr>
        <w:t>起</w:t>
      </w:r>
      <w:r>
        <w:rPr>
          <w:rFonts w:hint="eastAsia" w:ascii="Times New Roman" w:hAnsi="Times New Roman" w:eastAsia="宋体"/>
          <w:bCs/>
          <w:color w:val="auto"/>
          <w:sz w:val="24"/>
          <w:highlight w:val="none"/>
        </w:rPr>
        <w:t>，对“</w:t>
      </w:r>
      <w:bookmarkStart w:id="15" w:name="OLE_LINK18"/>
      <w:bookmarkStart w:id="16" w:name="OLE_LINK17"/>
      <w:r>
        <w:rPr>
          <w:rFonts w:hint="eastAsia" w:ascii="Times New Roman" w:hAnsi="Times New Roman" w:eastAsia="宋体" w:cs="Times New Roman"/>
          <w:b w:val="0"/>
          <w:bCs/>
          <w:color w:val="auto"/>
          <w:sz w:val="24"/>
          <w:szCs w:val="20"/>
          <w:highlight w:val="none"/>
          <w:lang w:eastAsia="zh-CN"/>
        </w:rPr>
        <w:t>合肥南站商业VIP厅项</w:t>
      </w:r>
      <w:r>
        <w:rPr>
          <w:rFonts w:hint="eastAsia" w:ascii="Times New Roman" w:hAnsi="Times New Roman" w:eastAsia="宋体"/>
          <w:bCs/>
          <w:color w:val="auto"/>
          <w:sz w:val="24"/>
          <w:highlight w:val="none"/>
        </w:rPr>
        <w:t>目</w:t>
      </w:r>
      <w:bookmarkEnd w:id="15"/>
      <w:bookmarkEnd w:id="16"/>
      <w:r>
        <w:rPr>
          <w:rFonts w:ascii="Times New Roman" w:hAnsi="Times New Roman" w:eastAsia="宋体"/>
          <w:bCs/>
          <w:color w:val="auto"/>
          <w:sz w:val="24"/>
          <w:highlight w:val="none"/>
        </w:rPr>
        <w:t>”</w:t>
      </w:r>
      <w:r>
        <w:rPr>
          <w:rFonts w:hint="eastAsia" w:ascii="Times New Roman" w:hAnsi="Times New Roman" w:eastAsia="宋体"/>
          <w:bCs/>
          <w:color w:val="auto"/>
          <w:sz w:val="24"/>
          <w:highlight w:val="none"/>
        </w:rPr>
        <w:t>（以下简称</w:t>
      </w:r>
      <w:r>
        <w:rPr>
          <w:rFonts w:ascii="Times New Roman" w:hAnsi="Times New Roman" w:eastAsia="宋体"/>
          <w:bCs/>
          <w:color w:val="auto"/>
          <w:sz w:val="24"/>
          <w:highlight w:val="none"/>
        </w:rPr>
        <w:t>“</w:t>
      </w:r>
      <w:r>
        <w:rPr>
          <w:rFonts w:hint="eastAsia" w:ascii="Times New Roman" w:hAnsi="Times New Roman" w:eastAsia="宋体"/>
          <w:bCs/>
          <w:color w:val="auto"/>
          <w:sz w:val="24"/>
          <w:highlight w:val="none"/>
        </w:rPr>
        <w:t>本项目</w:t>
      </w:r>
      <w:r>
        <w:rPr>
          <w:rFonts w:ascii="Times New Roman" w:hAnsi="Times New Roman" w:eastAsia="宋体"/>
          <w:bCs/>
          <w:color w:val="auto"/>
          <w:sz w:val="24"/>
          <w:highlight w:val="none"/>
        </w:rPr>
        <w:t>”</w:t>
      </w:r>
      <w:r>
        <w:rPr>
          <w:rFonts w:hint="eastAsia" w:ascii="Times New Roman" w:hAnsi="Times New Roman" w:eastAsia="宋体"/>
          <w:bCs/>
          <w:color w:val="auto"/>
          <w:sz w:val="24"/>
          <w:highlight w:val="none"/>
        </w:rPr>
        <w:t>）进行</w:t>
      </w:r>
      <w:r>
        <w:rPr>
          <w:rFonts w:hint="eastAsia" w:ascii="Times New Roman" w:hAnsi="Times New Roman" w:eastAsia="宋体"/>
          <w:bCs/>
          <w:color w:val="000000" w:themeColor="text1"/>
          <w:sz w:val="24"/>
          <w:highlight w:val="none"/>
        </w:rPr>
        <w:t>公开招商。现邀请有兴趣的潜在竞商人参加本项目的招商活动。</w:t>
      </w:r>
    </w:p>
    <w:p w14:paraId="76A3A67E">
      <w:pPr>
        <w:pStyle w:val="22"/>
        <w:snapToGrid w:val="0"/>
        <w:spacing w:beforeLines="70" w:afterLines="50" w:line="500" w:lineRule="exact"/>
        <w:ind w:leftChars="0" w:right="72"/>
        <w:jc w:val="left"/>
        <w:rPr>
          <w:rFonts w:ascii="Times New Roman" w:hAnsi="Times New Roman" w:eastAsia="宋体"/>
          <w:bCs/>
          <w:color w:val="000000" w:themeColor="text1"/>
          <w:sz w:val="24"/>
        </w:rPr>
      </w:pPr>
      <w:r>
        <w:rPr>
          <w:rFonts w:ascii="Times New Roman" w:hAnsi="Times New Roman" w:eastAsia="宋体"/>
          <w:bCs/>
          <w:color w:val="000000" w:themeColor="text1"/>
          <w:sz w:val="24"/>
        </w:rPr>
        <w:t xml:space="preserve">    1.</w:t>
      </w:r>
      <w:r>
        <w:rPr>
          <w:rFonts w:hint="eastAsia" w:ascii="Times New Roman" w:hAnsi="Times New Roman" w:eastAsia="宋体"/>
          <w:bCs/>
          <w:color w:val="000000" w:themeColor="text1"/>
          <w:sz w:val="24"/>
        </w:rPr>
        <w:t>招商人邀请所有有意向的潜在竞商人参与本项目竞商。具体招商客站商旅点位如下：</w:t>
      </w:r>
    </w:p>
    <w:tbl>
      <w:tblPr>
        <w:tblStyle w:val="52"/>
        <w:tblW w:w="8805" w:type="dxa"/>
        <w:jc w:val="center"/>
        <w:tblLayout w:type="fixed"/>
        <w:tblCellMar>
          <w:top w:w="0" w:type="dxa"/>
          <w:left w:w="108" w:type="dxa"/>
          <w:bottom w:w="0" w:type="dxa"/>
          <w:right w:w="108" w:type="dxa"/>
        </w:tblCellMar>
      </w:tblPr>
      <w:tblGrid>
        <w:gridCol w:w="1081"/>
        <w:gridCol w:w="1314"/>
        <w:gridCol w:w="2190"/>
        <w:gridCol w:w="1385"/>
        <w:gridCol w:w="903"/>
        <w:gridCol w:w="1932"/>
      </w:tblGrid>
      <w:tr w14:paraId="4A3868C3">
        <w:tblPrEx>
          <w:tblCellMar>
            <w:top w:w="0" w:type="dxa"/>
            <w:left w:w="108" w:type="dxa"/>
            <w:bottom w:w="0" w:type="dxa"/>
            <w:right w:w="108" w:type="dxa"/>
          </w:tblCellMar>
        </w:tblPrEx>
        <w:trPr>
          <w:trHeight w:val="795" w:hRule="atLeast"/>
          <w:jc w:val="center"/>
        </w:trPr>
        <w:tc>
          <w:tcPr>
            <w:tcW w:w="1081" w:type="dxa"/>
            <w:vMerge w:val="restart"/>
            <w:tcBorders>
              <w:top w:val="single" w:color="auto" w:sz="8" w:space="0"/>
              <w:left w:val="single" w:color="auto" w:sz="8" w:space="0"/>
              <w:bottom w:val="single" w:color="000000" w:sz="8" w:space="0"/>
              <w:right w:val="single" w:color="auto" w:sz="8" w:space="0"/>
            </w:tcBorders>
            <w:vAlign w:val="center"/>
          </w:tcPr>
          <w:p w14:paraId="2B0D40B6">
            <w:pPr>
              <w:spacing w:before="240" w:line="240" w:lineRule="exact"/>
              <w:jc w:val="center"/>
              <w:rPr>
                <w:rFonts w:ascii="仿宋" w:hAnsi="仿宋" w:eastAsia="仿宋" w:cs="宋体"/>
                <w:b/>
                <w:bCs/>
                <w:color w:val="000000" w:themeColor="text1"/>
                <w:kern w:val="2"/>
              </w:rPr>
            </w:pPr>
            <w:bookmarkStart w:id="17" w:name="RANGE!B3"/>
            <w:r>
              <w:rPr>
                <w:rFonts w:hint="eastAsia" w:ascii="仿宋" w:hAnsi="仿宋" w:eastAsia="仿宋" w:cs="宋体"/>
                <w:b/>
                <w:bCs/>
                <w:color w:val="000000" w:themeColor="text1"/>
                <w:kern w:val="2"/>
              </w:rPr>
              <w:t>包件号</w:t>
            </w:r>
            <w:bookmarkEnd w:id="17"/>
          </w:p>
        </w:tc>
        <w:tc>
          <w:tcPr>
            <w:tcW w:w="1314" w:type="dxa"/>
            <w:vMerge w:val="restart"/>
            <w:tcBorders>
              <w:top w:val="single" w:color="auto" w:sz="8" w:space="0"/>
              <w:left w:val="single" w:color="auto" w:sz="8" w:space="0"/>
              <w:bottom w:val="single" w:color="000000" w:sz="8" w:space="0"/>
              <w:right w:val="single" w:color="auto" w:sz="8" w:space="0"/>
            </w:tcBorders>
            <w:vAlign w:val="center"/>
          </w:tcPr>
          <w:p w14:paraId="39CCBBFF">
            <w:pPr>
              <w:spacing w:before="240" w:line="240" w:lineRule="exact"/>
              <w:jc w:val="center"/>
              <w:rPr>
                <w:rFonts w:ascii="仿宋" w:hAnsi="仿宋" w:eastAsia="仿宋" w:cs="宋体"/>
                <w:b/>
                <w:bCs/>
                <w:color w:val="000000" w:themeColor="text1"/>
                <w:kern w:val="2"/>
              </w:rPr>
            </w:pPr>
            <w:r>
              <w:rPr>
                <w:rFonts w:hint="eastAsia" w:ascii="仿宋" w:hAnsi="仿宋" w:eastAsia="仿宋" w:cs="宋体"/>
                <w:b/>
                <w:bCs/>
                <w:color w:val="000000" w:themeColor="text1"/>
                <w:kern w:val="2"/>
              </w:rPr>
              <w:t>所属站</w:t>
            </w:r>
          </w:p>
        </w:tc>
        <w:tc>
          <w:tcPr>
            <w:tcW w:w="2190" w:type="dxa"/>
            <w:vMerge w:val="restart"/>
            <w:tcBorders>
              <w:top w:val="single" w:color="auto" w:sz="8" w:space="0"/>
              <w:left w:val="single" w:color="auto" w:sz="8" w:space="0"/>
              <w:bottom w:val="single" w:color="000000" w:sz="8" w:space="0"/>
              <w:right w:val="single" w:color="auto" w:sz="8" w:space="0"/>
            </w:tcBorders>
            <w:vAlign w:val="center"/>
          </w:tcPr>
          <w:p w14:paraId="7F20FBC0">
            <w:pPr>
              <w:spacing w:before="240" w:line="240" w:lineRule="exact"/>
              <w:jc w:val="center"/>
              <w:rPr>
                <w:rFonts w:ascii="仿宋" w:hAnsi="仿宋" w:eastAsia="仿宋" w:cs="宋体"/>
                <w:b/>
                <w:bCs/>
                <w:color w:val="000000" w:themeColor="text1"/>
                <w:kern w:val="2"/>
              </w:rPr>
            </w:pPr>
            <w:r>
              <w:rPr>
                <w:rFonts w:hint="eastAsia" w:ascii="仿宋" w:hAnsi="仿宋" w:eastAsia="仿宋" w:cs="宋体"/>
                <w:b/>
                <w:bCs/>
                <w:color w:val="000000" w:themeColor="text1"/>
                <w:kern w:val="2"/>
              </w:rPr>
              <w:t>招商点位        （场地编号）</w:t>
            </w:r>
          </w:p>
        </w:tc>
        <w:tc>
          <w:tcPr>
            <w:tcW w:w="1385" w:type="dxa"/>
            <w:vMerge w:val="restart"/>
            <w:tcBorders>
              <w:top w:val="single" w:color="auto" w:sz="8" w:space="0"/>
              <w:left w:val="single" w:color="auto" w:sz="8" w:space="0"/>
              <w:bottom w:val="single" w:color="000000" w:sz="8" w:space="0"/>
              <w:right w:val="single" w:color="auto" w:sz="8" w:space="0"/>
            </w:tcBorders>
            <w:vAlign w:val="center"/>
          </w:tcPr>
          <w:p w14:paraId="71CA48B3">
            <w:pPr>
              <w:spacing w:before="240" w:line="240" w:lineRule="exact"/>
              <w:jc w:val="center"/>
              <w:rPr>
                <w:rFonts w:ascii="仿宋" w:hAnsi="仿宋" w:eastAsia="仿宋" w:cs="宋体"/>
                <w:b/>
                <w:bCs/>
                <w:color w:val="000000" w:themeColor="text1"/>
                <w:kern w:val="2"/>
              </w:rPr>
            </w:pPr>
            <w:r>
              <w:rPr>
                <w:rFonts w:hint="eastAsia" w:ascii="仿宋" w:hAnsi="仿宋" w:eastAsia="仿宋" w:cs="宋体"/>
                <w:b/>
                <w:bCs/>
                <w:color w:val="000000" w:themeColor="text1"/>
                <w:kern w:val="2"/>
              </w:rPr>
              <w:t>经营业态</w:t>
            </w:r>
          </w:p>
        </w:tc>
        <w:tc>
          <w:tcPr>
            <w:tcW w:w="903" w:type="dxa"/>
            <w:vMerge w:val="restart"/>
            <w:tcBorders>
              <w:top w:val="single" w:color="auto" w:sz="8" w:space="0"/>
              <w:left w:val="single" w:color="auto" w:sz="8" w:space="0"/>
              <w:bottom w:val="single" w:color="000000" w:sz="8" w:space="0"/>
              <w:right w:val="single" w:color="auto" w:sz="8" w:space="0"/>
            </w:tcBorders>
            <w:vAlign w:val="center"/>
          </w:tcPr>
          <w:p w14:paraId="4320ABF9">
            <w:pPr>
              <w:spacing w:before="240" w:line="240" w:lineRule="exact"/>
              <w:jc w:val="center"/>
              <w:rPr>
                <w:rFonts w:ascii="仿宋" w:hAnsi="仿宋" w:eastAsia="仿宋" w:cs="宋体"/>
                <w:b/>
                <w:bCs/>
                <w:color w:val="000000" w:themeColor="text1"/>
                <w:kern w:val="2"/>
              </w:rPr>
            </w:pPr>
            <w:r>
              <w:rPr>
                <w:rFonts w:hint="eastAsia" w:ascii="仿宋" w:hAnsi="仿宋" w:eastAsia="仿宋" w:cs="宋体"/>
                <w:b/>
                <w:bCs/>
                <w:color w:val="000000" w:themeColor="text1"/>
                <w:kern w:val="2"/>
              </w:rPr>
              <w:t>面积</w:t>
            </w:r>
            <w:r>
              <w:rPr>
                <w:rFonts w:hint="eastAsia" w:ascii="仿宋" w:hAnsi="仿宋" w:eastAsia="仿宋" w:cs="宋体"/>
                <w:b/>
                <w:bCs/>
                <w:color w:val="000000"/>
                <w:sz w:val="22"/>
                <w:szCs w:val="22"/>
              </w:rPr>
              <w:t>(</w:t>
            </w:r>
            <w:r>
              <w:rPr>
                <w:rFonts w:hint="eastAsia" w:ascii="仿宋" w:hAnsi="仿宋" w:eastAsia="仿宋" w:cs="宋体"/>
                <w:b/>
                <w:bCs/>
                <w:color w:val="000000"/>
                <w:kern w:val="0"/>
                <w:sz w:val="22"/>
                <w:szCs w:val="22"/>
              </w:rPr>
              <w:t>㎡)</w:t>
            </w:r>
          </w:p>
        </w:tc>
        <w:tc>
          <w:tcPr>
            <w:tcW w:w="1932" w:type="dxa"/>
            <w:vMerge w:val="restart"/>
            <w:tcBorders>
              <w:top w:val="single" w:color="auto" w:sz="8" w:space="0"/>
              <w:left w:val="single" w:color="auto" w:sz="8" w:space="0"/>
              <w:bottom w:val="single" w:color="000000" w:sz="8" w:space="0"/>
              <w:right w:val="single" w:color="auto" w:sz="8" w:space="0"/>
            </w:tcBorders>
            <w:vAlign w:val="center"/>
          </w:tcPr>
          <w:p w14:paraId="017D5BFE">
            <w:pPr>
              <w:spacing w:before="240" w:line="240" w:lineRule="exact"/>
              <w:jc w:val="center"/>
              <w:rPr>
                <w:rFonts w:ascii="仿宋" w:hAnsi="仿宋" w:eastAsia="仿宋" w:cs="宋体"/>
                <w:b/>
                <w:bCs/>
                <w:color w:val="000000" w:themeColor="text1"/>
                <w:kern w:val="2"/>
              </w:rPr>
            </w:pPr>
            <w:r>
              <w:rPr>
                <w:rFonts w:hint="eastAsia" w:ascii="仿宋" w:hAnsi="仿宋" w:eastAsia="仿宋" w:cs="宋体"/>
                <w:b/>
                <w:bCs/>
                <w:color w:val="000000" w:themeColor="text1"/>
                <w:kern w:val="2"/>
              </w:rPr>
              <w:t>合同到期时间</w:t>
            </w:r>
          </w:p>
        </w:tc>
      </w:tr>
      <w:tr w14:paraId="5DE1DFA2">
        <w:tblPrEx>
          <w:tblCellMar>
            <w:top w:w="0" w:type="dxa"/>
            <w:left w:w="108" w:type="dxa"/>
            <w:bottom w:w="0" w:type="dxa"/>
            <w:right w:w="108" w:type="dxa"/>
          </w:tblCellMar>
        </w:tblPrEx>
        <w:trPr>
          <w:trHeight w:val="312" w:hRule="atLeast"/>
          <w:jc w:val="center"/>
        </w:trPr>
        <w:tc>
          <w:tcPr>
            <w:tcW w:w="1081" w:type="dxa"/>
            <w:vMerge w:val="continue"/>
            <w:tcBorders>
              <w:top w:val="single" w:color="auto" w:sz="8" w:space="0"/>
              <w:left w:val="single" w:color="auto" w:sz="8" w:space="0"/>
              <w:bottom w:val="single" w:color="000000" w:sz="8" w:space="0"/>
              <w:right w:val="single" w:color="auto" w:sz="8" w:space="0"/>
            </w:tcBorders>
            <w:vAlign w:val="center"/>
          </w:tcPr>
          <w:p w14:paraId="6C6EE2E1">
            <w:pPr>
              <w:rPr>
                <w:rFonts w:ascii="仿宋" w:hAnsi="仿宋" w:eastAsia="仿宋" w:cs="宋体"/>
                <w:b/>
                <w:bCs/>
                <w:color w:val="000000" w:themeColor="text1"/>
                <w:kern w:val="2"/>
              </w:rPr>
            </w:pPr>
          </w:p>
        </w:tc>
        <w:tc>
          <w:tcPr>
            <w:tcW w:w="1314" w:type="dxa"/>
            <w:vMerge w:val="continue"/>
            <w:tcBorders>
              <w:top w:val="single" w:color="auto" w:sz="8" w:space="0"/>
              <w:left w:val="single" w:color="auto" w:sz="8" w:space="0"/>
              <w:bottom w:val="single" w:color="000000" w:sz="8" w:space="0"/>
              <w:right w:val="single" w:color="auto" w:sz="8" w:space="0"/>
            </w:tcBorders>
            <w:vAlign w:val="center"/>
          </w:tcPr>
          <w:p w14:paraId="2FD05E47">
            <w:pPr>
              <w:rPr>
                <w:rFonts w:ascii="仿宋" w:hAnsi="仿宋" w:eastAsia="仿宋" w:cs="宋体"/>
                <w:b/>
                <w:bCs/>
                <w:color w:val="000000" w:themeColor="text1"/>
                <w:kern w:val="2"/>
              </w:rPr>
            </w:pPr>
          </w:p>
        </w:tc>
        <w:tc>
          <w:tcPr>
            <w:tcW w:w="2190" w:type="dxa"/>
            <w:vMerge w:val="continue"/>
            <w:tcBorders>
              <w:top w:val="single" w:color="auto" w:sz="8" w:space="0"/>
              <w:left w:val="single" w:color="auto" w:sz="8" w:space="0"/>
              <w:bottom w:val="single" w:color="000000" w:sz="8" w:space="0"/>
              <w:right w:val="single" w:color="auto" w:sz="8" w:space="0"/>
            </w:tcBorders>
            <w:vAlign w:val="center"/>
          </w:tcPr>
          <w:p w14:paraId="30640A94">
            <w:pPr>
              <w:rPr>
                <w:rFonts w:ascii="仿宋" w:hAnsi="仿宋" w:eastAsia="仿宋" w:cs="宋体"/>
                <w:b/>
                <w:bCs/>
                <w:color w:val="000000" w:themeColor="text1"/>
                <w:kern w:val="2"/>
              </w:rPr>
            </w:pPr>
          </w:p>
        </w:tc>
        <w:tc>
          <w:tcPr>
            <w:tcW w:w="1385" w:type="dxa"/>
            <w:vMerge w:val="continue"/>
            <w:tcBorders>
              <w:top w:val="single" w:color="auto" w:sz="8" w:space="0"/>
              <w:left w:val="single" w:color="auto" w:sz="8" w:space="0"/>
              <w:bottom w:val="single" w:color="000000" w:sz="8" w:space="0"/>
              <w:right w:val="single" w:color="auto" w:sz="8" w:space="0"/>
            </w:tcBorders>
            <w:vAlign w:val="center"/>
          </w:tcPr>
          <w:p w14:paraId="1F5878EF">
            <w:pPr>
              <w:rPr>
                <w:rFonts w:ascii="仿宋" w:hAnsi="仿宋" w:eastAsia="仿宋" w:cs="宋体"/>
                <w:b/>
                <w:bCs/>
                <w:color w:val="000000" w:themeColor="text1"/>
                <w:kern w:val="2"/>
              </w:rPr>
            </w:pPr>
          </w:p>
        </w:tc>
        <w:tc>
          <w:tcPr>
            <w:tcW w:w="903" w:type="dxa"/>
            <w:vMerge w:val="continue"/>
            <w:tcBorders>
              <w:top w:val="single" w:color="auto" w:sz="8" w:space="0"/>
              <w:left w:val="single" w:color="auto" w:sz="8" w:space="0"/>
              <w:bottom w:val="single" w:color="000000" w:sz="8" w:space="0"/>
              <w:right w:val="single" w:color="auto" w:sz="8" w:space="0"/>
            </w:tcBorders>
            <w:vAlign w:val="center"/>
          </w:tcPr>
          <w:p w14:paraId="5C0317F5">
            <w:pPr>
              <w:rPr>
                <w:rFonts w:ascii="仿宋" w:hAnsi="仿宋" w:eastAsia="仿宋" w:cs="宋体"/>
                <w:b/>
                <w:bCs/>
                <w:color w:val="000000" w:themeColor="text1"/>
                <w:kern w:val="2"/>
              </w:rPr>
            </w:pPr>
          </w:p>
        </w:tc>
        <w:tc>
          <w:tcPr>
            <w:tcW w:w="1932" w:type="dxa"/>
            <w:vMerge w:val="continue"/>
            <w:tcBorders>
              <w:top w:val="single" w:color="auto" w:sz="8" w:space="0"/>
              <w:left w:val="single" w:color="auto" w:sz="8" w:space="0"/>
              <w:bottom w:val="single" w:color="000000" w:sz="8" w:space="0"/>
              <w:right w:val="single" w:color="auto" w:sz="8" w:space="0"/>
            </w:tcBorders>
            <w:vAlign w:val="center"/>
          </w:tcPr>
          <w:p w14:paraId="67A5B1FD">
            <w:pPr>
              <w:rPr>
                <w:rFonts w:ascii="仿宋" w:hAnsi="仿宋" w:eastAsia="仿宋" w:cs="宋体"/>
                <w:b/>
                <w:bCs/>
                <w:color w:val="000000" w:themeColor="text1"/>
                <w:kern w:val="2"/>
              </w:rPr>
            </w:pPr>
          </w:p>
        </w:tc>
      </w:tr>
      <w:tr w14:paraId="4046ADA6">
        <w:tblPrEx>
          <w:tblCellMar>
            <w:top w:w="0" w:type="dxa"/>
            <w:left w:w="108" w:type="dxa"/>
            <w:bottom w:w="0" w:type="dxa"/>
            <w:right w:w="108" w:type="dxa"/>
          </w:tblCellMar>
        </w:tblPrEx>
        <w:trPr>
          <w:trHeight w:val="395" w:hRule="atLeast"/>
          <w:jc w:val="center"/>
        </w:trPr>
        <w:tc>
          <w:tcPr>
            <w:tcW w:w="1081" w:type="dxa"/>
            <w:tcBorders>
              <w:top w:val="nil"/>
              <w:left w:val="single" w:color="auto" w:sz="8" w:space="0"/>
              <w:bottom w:val="nil"/>
              <w:right w:val="single" w:color="auto" w:sz="8" w:space="0"/>
            </w:tcBorders>
            <w:vAlign w:val="center"/>
          </w:tcPr>
          <w:p w14:paraId="3EE96197">
            <w:pPr>
              <w:spacing w:before="240" w:line="240" w:lineRule="exact"/>
              <w:jc w:val="center"/>
              <w:rPr>
                <w:rFonts w:hint="eastAsia" w:ascii="仿宋" w:hAnsi="仿宋" w:eastAsia="仿宋" w:cs="宋体"/>
                <w:b w:val="0"/>
                <w:bCs w:val="0"/>
                <w:color w:val="000000" w:themeColor="text1"/>
                <w:kern w:val="2"/>
                <w:sz w:val="21"/>
                <w:szCs w:val="21"/>
              </w:rPr>
            </w:pPr>
            <w:bookmarkStart w:id="18" w:name="RANGE!B5"/>
            <w:r>
              <w:rPr>
                <w:rFonts w:hint="eastAsia" w:ascii="仿宋" w:hAnsi="仿宋" w:eastAsia="仿宋" w:cs="宋体"/>
                <w:b w:val="0"/>
                <w:bCs w:val="0"/>
                <w:color w:val="000000" w:themeColor="text1"/>
                <w:kern w:val="2"/>
                <w:sz w:val="21"/>
                <w:szCs w:val="21"/>
              </w:rPr>
              <w:t>1</w:t>
            </w:r>
            <w:bookmarkEnd w:id="18"/>
          </w:p>
        </w:tc>
        <w:tc>
          <w:tcPr>
            <w:tcW w:w="1314" w:type="dxa"/>
            <w:tcBorders>
              <w:top w:val="nil"/>
              <w:left w:val="nil"/>
              <w:bottom w:val="nil"/>
              <w:right w:val="single" w:color="auto" w:sz="8" w:space="0"/>
            </w:tcBorders>
            <w:noWrap/>
            <w:vAlign w:val="center"/>
          </w:tcPr>
          <w:p w14:paraId="1A03797D">
            <w:pPr>
              <w:spacing w:before="240" w:line="240" w:lineRule="exact"/>
              <w:jc w:val="center"/>
              <w:rPr>
                <w:rFonts w:hint="eastAsia" w:ascii="仿宋" w:hAnsi="仿宋" w:eastAsia="仿宋" w:cs="宋体"/>
                <w:b w:val="0"/>
                <w:bCs w:val="0"/>
                <w:color w:val="000000" w:themeColor="text1"/>
                <w:kern w:val="2"/>
                <w:sz w:val="21"/>
                <w:szCs w:val="21"/>
                <w:lang w:eastAsia="zh-CN"/>
              </w:rPr>
            </w:pPr>
            <w:r>
              <w:rPr>
                <w:rFonts w:hint="eastAsia" w:ascii="仿宋" w:hAnsi="仿宋" w:eastAsia="仿宋" w:cs="宋体"/>
                <w:b w:val="0"/>
                <w:bCs w:val="0"/>
                <w:color w:val="000000" w:themeColor="text1"/>
                <w:kern w:val="2"/>
                <w:sz w:val="21"/>
                <w:szCs w:val="21"/>
                <w:lang w:eastAsia="zh-CN"/>
              </w:rPr>
              <w:t>合肥南站</w:t>
            </w:r>
          </w:p>
        </w:tc>
        <w:tc>
          <w:tcPr>
            <w:tcW w:w="2190" w:type="dxa"/>
            <w:tcBorders>
              <w:top w:val="nil"/>
              <w:left w:val="nil"/>
              <w:bottom w:val="nil"/>
              <w:right w:val="single" w:color="auto" w:sz="8" w:space="0"/>
            </w:tcBorders>
            <w:noWrap/>
            <w:vAlign w:val="center"/>
          </w:tcPr>
          <w:p w14:paraId="340F9149">
            <w:pPr>
              <w:spacing w:before="240" w:line="240" w:lineRule="exact"/>
              <w:jc w:val="center"/>
              <w:rPr>
                <w:rFonts w:hint="eastAsia" w:ascii="仿宋" w:hAnsi="仿宋" w:eastAsia="仿宋" w:cs="宋体"/>
                <w:b w:val="0"/>
                <w:bCs w:val="0"/>
                <w:color w:val="000000" w:themeColor="text1"/>
                <w:kern w:val="2"/>
                <w:sz w:val="21"/>
                <w:szCs w:val="21"/>
                <w:lang w:eastAsia="zh-CN"/>
              </w:rPr>
            </w:pPr>
            <w:r>
              <w:rPr>
                <w:rFonts w:hint="eastAsia" w:ascii="仿宋" w:hAnsi="仿宋" w:eastAsia="仿宋" w:cs="宋体"/>
                <w:b w:val="0"/>
                <w:bCs w:val="0"/>
                <w:color w:val="000000" w:themeColor="text1"/>
                <w:kern w:val="2"/>
                <w:sz w:val="21"/>
                <w:szCs w:val="21"/>
                <w:lang w:val="en-US" w:eastAsia="zh-CN"/>
              </w:rPr>
              <w:t>HFN-2F-VIP-01</w:t>
            </w:r>
          </w:p>
        </w:tc>
        <w:tc>
          <w:tcPr>
            <w:tcW w:w="1385" w:type="dxa"/>
            <w:tcBorders>
              <w:top w:val="nil"/>
              <w:left w:val="nil"/>
              <w:bottom w:val="nil"/>
              <w:right w:val="single" w:color="auto" w:sz="8" w:space="0"/>
            </w:tcBorders>
            <w:noWrap/>
            <w:vAlign w:val="center"/>
          </w:tcPr>
          <w:p w14:paraId="0BAE1917">
            <w:pPr>
              <w:spacing w:before="240" w:line="240" w:lineRule="exact"/>
              <w:jc w:val="center"/>
              <w:rPr>
                <w:rFonts w:hint="eastAsia" w:ascii="仿宋" w:hAnsi="仿宋" w:eastAsia="仿宋" w:cs="宋体"/>
                <w:b w:val="0"/>
                <w:bCs w:val="0"/>
                <w:color w:val="000000" w:themeColor="text1"/>
                <w:kern w:val="2"/>
                <w:sz w:val="21"/>
                <w:szCs w:val="21"/>
                <w:lang w:val="en-US" w:eastAsia="zh-CN"/>
              </w:rPr>
            </w:pPr>
            <w:r>
              <w:rPr>
                <w:rFonts w:hint="eastAsia" w:ascii="仿宋" w:hAnsi="仿宋" w:eastAsia="仿宋" w:cs="宋体"/>
                <w:b w:val="0"/>
                <w:bCs w:val="0"/>
                <w:color w:val="000000" w:themeColor="text1"/>
                <w:kern w:val="2"/>
                <w:sz w:val="21"/>
                <w:szCs w:val="21"/>
                <w:lang w:eastAsia="zh-CN"/>
              </w:rPr>
              <w:t>商业VIP厅</w:t>
            </w:r>
          </w:p>
        </w:tc>
        <w:tc>
          <w:tcPr>
            <w:tcW w:w="903" w:type="dxa"/>
            <w:tcBorders>
              <w:top w:val="nil"/>
              <w:left w:val="nil"/>
              <w:bottom w:val="nil"/>
              <w:right w:val="single" w:color="auto" w:sz="8" w:space="0"/>
            </w:tcBorders>
            <w:vAlign w:val="center"/>
          </w:tcPr>
          <w:p w14:paraId="31152EF3">
            <w:pPr>
              <w:spacing w:before="240" w:line="240" w:lineRule="exact"/>
              <w:jc w:val="center"/>
              <w:rPr>
                <w:rFonts w:hint="default" w:ascii="仿宋" w:hAnsi="仿宋" w:eastAsia="仿宋" w:cs="宋体"/>
                <w:b w:val="0"/>
                <w:bCs w:val="0"/>
                <w:color w:val="000000" w:themeColor="text1"/>
                <w:kern w:val="2"/>
                <w:sz w:val="21"/>
                <w:szCs w:val="21"/>
                <w:lang w:val="en-US" w:eastAsia="zh-CN"/>
              </w:rPr>
            </w:pPr>
            <w:r>
              <w:rPr>
                <w:rFonts w:hint="eastAsia" w:ascii="仿宋" w:hAnsi="仿宋" w:eastAsia="仿宋" w:cs="宋体"/>
                <w:b w:val="0"/>
                <w:bCs w:val="0"/>
                <w:color w:val="000000" w:themeColor="text1"/>
                <w:kern w:val="2"/>
                <w:sz w:val="21"/>
                <w:szCs w:val="21"/>
                <w:lang w:val="en-US" w:eastAsia="zh-CN"/>
              </w:rPr>
              <w:t>117.96</w:t>
            </w:r>
          </w:p>
        </w:tc>
        <w:tc>
          <w:tcPr>
            <w:tcW w:w="1932" w:type="dxa"/>
            <w:tcBorders>
              <w:top w:val="nil"/>
              <w:left w:val="nil"/>
              <w:bottom w:val="nil"/>
              <w:right w:val="single" w:color="auto" w:sz="8" w:space="0"/>
            </w:tcBorders>
            <w:noWrap/>
            <w:vAlign w:val="center"/>
          </w:tcPr>
          <w:p w14:paraId="68AD2EDE">
            <w:pPr>
              <w:spacing w:before="240" w:line="240" w:lineRule="exact"/>
              <w:jc w:val="center"/>
              <w:rPr>
                <w:rFonts w:hint="eastAsia" w:ascii="仿宋" w:hAnsi="仿宋" w:eastAsia="仿宋" w:cs="宋体"/>
                <w:b w:val="0"/>
                <w:bCs w:val="0"/>
                <w:color w:val="000000" w:themeColor="text1"/>
                <w:kern w:val="2"/>
                <w:sz w:val="21"/>
                <w:szCs w:val="21"/>
                <w:lang w:val="en-US" w:eastAsia="zh-CN"/>
              </w:rPr>
            </w:pPr>
            <w:r>
              <w:rPr>
                <w:rFonts w:hint="eastAsia" w:ascii="仿宋" w:hAnsi="仿宋" w:eastAsia="仿宋" w:cs="宋体"/>
                <w:b w:val="0"/>
                <w:bCs w:val="0"/>
                <w:color w:val="000000" w:themeColor="text1"/>
                <w:kern w:val="2"/>
                <w:sz w:val="21"/>
                <w:szCs w:val="21"/>
                <w:lang w:val="en-US" w:eastAsia="zh-CN"/>
              </w:rPr>
              <w:t>2025.10.31</w:t>
            </w:r>
          </w:p>
        </w:tc>
      </w:tr>
      <w:tr w14:paraId="7250A5C0">
        <w:tblPrEx>
          <w:tblCellMar>
            <w:top w:w="0" w:type="dxa"/>
            <w:left w:w="108" w:type="dxa"/>
            <w:bottom w:w="0" w:type="dxa"/>
            <w:right w:w="108" w:type="dxa"/>
          </w:tblCellMar>
        </w:tblPrEx>
        <w:trPr>
          <w:trHeight w:val="395" w:hRule="atLeast"/>
          <w:jc w:val="center"/>
        </w:trPr>
        <w:tc>
          <w:tcPr>
            <w:tcW w:w="1081" w:type="dxa"/>
            <w:tcBorders>
              <w:top w:val="nil"/>
              <w:left w:val="single" w:color="auto" w:sz="8" w:space="0"/>
              <w:bottom w:val="single" w:color="auto" w:sz="4" w:space="0"/>
              <w:right w:val="single" w:color="auto" w:sz="8" w:space="0"/>
            </w:tcBorders>
            <w:vAlign w:val="center"/>
          </w:tcPr>
          <w:p w14:paraId="141DB526">
            <w:pPr>
              <w:spacing w:before="240" w:line="240" w:lineRule="exact"/>
              <w:jc w:val="center"/>
              <w:rPr>
                <w:rFonts w:hint="eastAsia" w:ascii="仿宋" w:hAnsi="仿宋" w:eastAsia="仿宋" w:cs="宋体"/>
                <w:b w:val="0"/>
                <w:bCs w:val="0"/>
                <w:color w:val="000000" w:themeColor="text1"/>
                <w:kern w:val="2"/>
                <w:sz w:val="21"/>
                <w:szCs w:val="21"/>
                <w:lang w:val="en-US" w:eastAsia="zh-CN"/>
              </w:rPr>
            </w:pPr>
            <w:r>
              <w:rPr>
                <w:rFonts w:hint="eastAsia" w:ascii="仿宋" w:hAnsi="仿宋" w:eastAsia="仿宋" w:cs="宋体"/>
                <w:b w:val="0"/>
                <w:bCs w:val="0"/>
                <w:color w:val="000000" w:themeColor="text1"/>
                <w:kern w:val="2"/>
                <w:sz w:val="21"/>
                <w:szCs w:val="21"/>
                <w:lang w:val="en-US" w:eastAsia="zh-CN"/>
              </w:rPr>
              <w:t>2</w:t>
            </w:r>
          </w:p>
        </w:tc>
        <w:tc>
          <w:tcPr>
            <w:tcW w:w="1314" w:type="dxa"/>
            <w:tcBorders>
              <w:top w:val="nil"/>
              <w:left w:val="nil"/>
              <w:bottom w:val="single" w:color="auto" w:sz="4" w:space="0"/>
              <w:right w:val="single" w:color="auto" w:sz="8" w:space="0"/>
            </w:tcBorders>
            <w:noWrap/>
            <w:vAlign w:val="center"/>
          </w:tcPr>
          <w:p w14:paraId="5F1DECA8">
            <w:pPr>
              <w:spacing w:before="240" w:line="240" w:lineRule="exact"/>
              <w:jc w:val="center"/>
              <w:rPr>
                <w:rFonts w:hint="eastAsia" w:ascii="仿宋" w:hAnsi="仿宋" w:eastAsia="仿宋" w:cs="宋体"/>
                <w:b w:val="0"/>
                <w:bCs w:val="0"/>
                <w:color w:val="000000" w:themeColor="text1"/>
                <w:kern w:val="2"/>
                <w:sz w:val="21"/>
                <w:szCs w:val="21"/>
                <w:lang w:eastAsia="zh-CN"/>
              </w:rPr>
            </w:pPr>
            <w:r>
              <w:rPr>
                <w:rFonts w:hint="eastAsia" w:ascii="仿宋" w:hAnsi="仿宋" w:eastAsia="仿宋" w:cs="宋体"/>
                <w:b w:val="0"/>
                <w:bCs w:val="0"/>
                <w:color w:val="000000" w:themeColor="text1"/>
                <w:kern w:val="2"/>
                <w:sz w:val="21"/>
                <w:szCs w:val="21"/>
                <w:lang w:eastAsia="zh-CN"/>
              </w:rPr>
              <w:t>合肥南站</w:t>
            </w:r>
          </w:p>
        </w:tc>
        <w:tc>
          <w:tcPr>
            <w:tcW w:w="2190" w:type="dxa"/>
            <w:tcBorders>
              <w:top w:val="nil"/>
              <w:left w:val="nil"/>
              <w:bottom w:val="single" w:color="auto" w:sz="4" w:space="0"/>
              <w:right w:val="single" w:color="auto" w:sz="8" w:space="0"/>
            </w:tcBorders>
            <w:noWrap/>
            <w:vAlign w:val="center"/>
          </w:tcPr>
          <w:p w14:paraId="781BE69A">
            <w:pPr>
              <w:spacing w:before="240" w:line="240" w:lineRule="exact"/>
              <w:jc w:val="center"/>
              <w:rPr>
                <w:rFonts w:hint="eastAsia" w:ascii="仿宋" w:hAnsi="仿宋" w:eastAsia="仿宋" w:cs="宋体"/>
                <w:b w:val="0"/>
                <w:bCs w:val="0"/>
                <w:color w:val="000000" w:themeColor="text1"/>
                <w:kern w:val="2"/>
                <w:sz w:val="21"/>
                <w:szCs w:val="21"/>
                <w:lang w:eastAsia="zh-CN"/>
              </w:rPr>
            </w:pPr>
            <w:r>
              <w:rPr>
                <w:rFonts w:hint="eastAsia" w:ascii="仿宋" w:hAnsi="仿宋" w:eastAsia="仿宋" w:cs="宋体"/>
                <w:b w:val="0"/>
                <w:bCs w:val="0"/>
                <w:color w:val="000000" w:themeColor="text1"/>
                <w:kern w:val="2"/>
                <w:sz w:val="21"/>
                <w:szCs w:val="21"/>
                <w:lang w:val="en-US" w:eastAsia="zh-CN"/>
              </w:rPr>
              <w:t>HFN-2F-VIP-03</w:t>
            </w:r>
          </w:p>
        </w:tc>
        <w:tc>
          <w:tcPr>
            <w:tcW w:w="1385" w:type="dxa"/>
            <w:tcBorders>
              <w:top w:val="nil"/>
              <w:left w:val="nil"/>
              <w:bottom w:val="single" w:color="auto" w:sz="4" w:space="0"/>
              <w:right w:val="single" w:color="auto" w:sz="8" w:space="0"/>
            </w:tcBorders>
            <w:noWrap/>
            <w:vAlign w:val="center"/>
          </w:tcPr>
          <w:p w14:paraId="2405506E">
            <w:pPr>
              <w:spacing w:before="240" w:line="240" w:lineRule="exact"/>
              <w:jc w:val="center"/>
              <w:rPr>
                <w:rFonts w:hint="eastAsia" w:ascii="仿宋" w:hAnsi="仿宋" w:eastAsia="仿宋" w:cs="宋体"/>
                <w:b w:val="0"/>
                <w:bCs w:val="0"/>
                <w:color w:val="000000" w:themeColor="text1"/>
                <w:kern w:val="2"/>
                <w:sz w:val="21"/>
                <w:szCs w:val="21"/>
                <w:lang w:eastAsia="zh-CN"/>
              </w:rPr>
            </w:pPr>
            <w:r>
              <w:rPr>
                <w:rFonts w:hint="eastAsia" w:ascii="仿宋" w:hAnsi="仿宋" w:eastAsia="仿宋" w:cs="宋体"/>
                <w:b w:val="0"/>
                <w:bCs w:val="0"/>
                <w:color w:val="000000" w:themeColor="text1"/>
                <w:kern w:val="2"/>
                <w:sz w:val="21"/>
                <w:szCs w:val="21"/>
                <w:lang w:eastAsia="zh-CN"/>
              </w:rPr>
              <w:t>商业VIP厅</w:t>
            </w:r>
          </w:p>
        </w:tc>
        <w:tc>
          <w:tcPr>
            <w:tcW w:w="903" w:type="dxa"/>
            <w:tcBorders>
              <w:top w:val="nil"/>
              <w:left w:val="nil"/>
              <w:bottom w:val="single" w:color="auto" w:sz="4" w:space="0"/>
              <w:right w:val="single" w:color="auto" w:sz="8" w:space="0"/>
            </w:tcBorders>
            <w:vAlign w:val="center"/>
          </w:tcPr>
          <w:p w14:paraId="53B41D6B">
            <w:pPr>
              <w:spacing w:before="240" w:line="240" w:lineRule="exact"/>
              <w:jc w:val="center"/>
              <w:rPr>
                <w:rFonts w:hint="eastAsia" w:ascii="仿宋" w:hAnsi="仿宋" w:eastAsia="仿宋" w:cs="宋体"/>
                <w:b w:val="0"/>
                <w:bCs w:val="0"/>
                <w:color w:val="000000" w:themeColor="text1"/>
                <w:kern w:val="2"/>
                <w:sz w:val="21"/>
                <w:szCs w:val="21"/>
                <w:lang w:val="en-US" w:eastAsia="zh-CN"/>
              </w:rPr>
            </w:pPr>
            <w:r>
              <w:rPr>
                <w:rFonts w:hint="eastAsia" w:ascii="仿宋" w:hAnsi="仿宋" w:eastAsia="仿宋" w:cs="宋体"/>
                <w:b w:val="0"/>
                <w:bCs w:val="0"/>
                <w:color w:val="000000" w:themeColor="text1"/>
                <w:kern w:val="2"/>
                <w:sz w:val="21"/>
                <w:szCs w:val="21"/>
                <w:lang w:val="en-US" w:eastAsia="zh-CN"/>
              </w:rPr>
              <w:t>97.83</w:t>
            </w:r>
          </w:p>
        </w:tc>
        <w:tc>
          <w:tcPr>
            <w:tcW w:w="1932" w:type="dxa"/>
            <w:tcBorders>
              <w:top w:val="nil"/>
              <w:left w:val="nil"/>
              <w:bottom w:val="single" w:color="auto" w:sz="4" w:space="0"/>
              <w:right w:val="single" w:color="auto" w:sz="8" w:space="0"/>
            </w:tcBorders>
            <w:noWrap/>
            <w:vAlign w:val="center"/>
          </w:tcPr>
          <w:p w14:paraId="01329C06">
            <w:pPr>
              <w:spacing w:before="240" w:line="240" w:lineRule="exact"/>
              <w:jc w:val="center"/>
              <w:rPr>
                <w:rFonts w:hint="eastAsia" w:ascii="仿宋" w:hAnsi="仿宋" w:eastAsia="仿宋" w:cs="宋体"/>
                <w:b w:val="0"/>
                <w:bCs w:val="0"/>
                <w:color w:val="000000" w:themeColor="text1"/>
                <w:kern w:val="2"/>
                <w:sz w:val="21"/>
                <w:szCs w:val="21"/>
                <w:lang w:val="en-US" w:eastAsia="zh-CN"/>
              </w:rPr>
            </w:pPr>
            <w:r>
              <w:rPr>
                <w:rFonts w:hint="eastAsia" w:ascii="仿宋" w:hAnsi="仿宋" w:eastAsia="仿宋" w:cs="宋体"/>
                <w:b w:val="0"/>
                <w:bCs w:val="0"/>
                <w:color w:val="000000" w:themeColor="text1"/>
                <w:kern w:val="2"/>
                <w:sz w:val="21"/>
                <w:szCs w:val="21"/>
                <w:lang w:val="en-US" w:eastAsia="zh-CN"/>
              </w:rPr>
              <w:t>2025.11.30</w:t>
            </w:r>
          </w:p>
        </w:tc>
      </w:tr>
    </w:tbl>
    <w:p w14:paraId="33475F8E">
      <w:pPr>
        <w:spacing w:line="500" w:lineRule="exact"/>
        <w:ind w:firstLine="472" w:firstLineChars="196"/>
        <w:rPr>
          <w:b/>
          <w:bCs/>
          <w:color w:val="000000" w:themeColor="text1"/>
          <w:szCs w:val="20"/>
        </w:rPr>
      </w:pPr>
      <w:r>
        <w:rPr>
          <w:b/>
          <w:bCs/>
          <w:color w:val="000000" w:themeColor="text1"/>
          <w:szCs w:val="20"/>
        </w:rPr>
        <w:t>2.</w:t>
      </w:r>
      <w:r>
        <w:rPr>
          <w:rFonts w:hint="eastAsia"/>
          <w:b/>
          <w:bCs/>
          <w:color w:val="000000" w:themeColor="text1"/>
          <w:szCs w:val="20"/>
        </w:rPr>
        <w:t>经营业态：</w:t>
      </w:r>
    </w:p>
    <w:p w14:paraId="53A07E29">
      <w:pPr>
        <w:spacing w:line="500" w:lineRule="exact"/>
        <w:ind w:firstLine="480" w:firstLineChars="200"/>
        <w:rPr>
          <w:rFonts w:hint="eastAsia"/>
          <w:bCs/>
          <w:color w:val="000000" w:themeColor="text1"/>
          <w:szCs w:val="20"/>
          <w:lang w:eastAsia="zh-CN"/>
        </w:rPr>
      </w:pPr>
      <w:bookmarkStart w:id="19" w:name="OLE_LINK100"/>
      <w:bookmarkStart w:id="20" w:name="OLE_LINK101"/>
      <w:r>
        <w:rPr>
          <w:rFonts w:hint="eastAsia"/>
          <w:bCs/>
          <w:color w:val="000000" w:themeColor="text1"/>
          <w:szCs w:val="20"/>
          <w:lang w:eastAsia="zh-CN"/>
        </w:rPr>
        <w:t>商业VIP厅：冠名宣传服务、商旅出行服务、贵宾接待服务、实体（商品、形象）展示、会员推广等，</w:t>
      </w:r>
      <w:bookmarkStart w:id="21" w:name="OLE_LINK41"/>
      <w:bookmarkStart w:id="22" w:name="OLE_LINK40"/>
      <w:r>
        <w:rPr>
          <w:rFonts w:hint="eastAsia"/>
          <w:bCs/>
          <w:color w:val="000000" w:themeColor="text1"/>
          <w:szCs w:val="20"/>
          <w:lang w:eastAsia="zh-CN"/>
        </w:rPr>
        <w:t>经营活动</w:t>
      </w:r>
      <w:bookmarkEnd w:id="21"/>
      <w:bookmarkEnd w:id="22"/>
      <w:r>
        <w:rPr>
          <w:rFonts w:hint="eastAsia"/>
          <w:bCs/>
          <w:color w:val="000000" w:themeColor="text1"/>
          <w:szCs w:val="20"/>
          <w:lang w:eastAsia="zh-CN"/>
        </w:rPr>
        <w:t>仅限于商业VIP厅内，可销售展示上铁文旅传媒集团指定文创产品。</w:t>
      </w:r>
    </w:p>
    <w:bookmarkEnd w:id="19"/>
    <w:bookmarkEnd w:id="20"/>
    <w:p w14:paraId="0E350FE1">
      <w:pPr>
        <w:spacing w:line="500" w:lineRule="exact"/>
        <w:ind w:firstLine="482" w:firstLineChars="200"/>
        <w:rPr>
          <w:b/>
          <w:bCs/>
          <w:color w:val="000000" w:themeColor="text1"/>
          <w:szCs w:val="20"/>
        </w:rPr>
      </w:pPr>
      <w:r>
        <w:rPr>
          <w:b/>
          <w:bCs/>
          <w:color w:val="000000" w:themeColor="text1"/>
          <w:szCs w:val="20"/>
        </w:rPr>
        <w:t>3.</w:t>
      </w:r>
      <w:r>
        <w:rPr>
          <w:rFonts w:hint="eastAsia"/>
          <w:b/>
          <w:bCs/>
          <w:color w:val="000000" w:themeColor="text1"/>
          <w:szCs w:val="20"/>
        </w:rPr>
        <w:t>竞商文件获取时间：</w:t>
      </w:r>
    </w:p>
    <w:p w14:paraId="7E4CAE64">
      <w:pPr>
        <w:spacing w:line="500" w:lineRule="exact"/>
        <w:ind w:firstLine="480" w:firstLineChars="200"/>
        <w:rPr>
          <w:bCs/>
          <w:color w:val="000000" w:themeColor="text1"/>
          <w:szCs w:val="20"/>
        </w:rPr>
      </w:pPr>
      <w:r>
        <w:rPr>
          <w:rFonts w:hint="eastAsia"/>
          <w:bCs/>
          <w:color w:val="000000" w:themeColor="text1"/>
          <w:szCs w:val="20"/>
          <w:highlight w:val="none"/>
        </w:rPr>
        <w:t>竞商人</w:t>
      </w:r>
      <w:r>
        <w:rPr>
          <w:rFonts w:hint="eastAsia"/>
          <w:bCs/>
          <w:color w:val="auto"/>
          <w:szCs w:val="20"/>
          <w:highlight w:val="none"/>
        </w:rPr>
        <w:t>在</w:t>
      </w:r>
      <w:r>
        <w:rPr>
          <w:rFonts w:hint="eastAsia"/>
          <w:bCs/>
          <w:color w:val="auto"/>
          <w:szCs w:val="20"/>
          <w:highlight w:val="none"/>
          <w:lang w:val="en-US" w:eastAsia="zh-CN"/>
        </w:rPr>
        <w:t>2025</w:t>
      </w:r>
      <w:r>
        <w:rPr>
          <w:rFonts w:hint="eastAsia"/>
          <w:bCs/>
          <w:color w:val="auto"/>
          <w:szCs w:val="20"/>
          <w:highlight w:val="none"/>
        </w:rPr>
        <w:t>年</w:t>
      </w:r>
      <w:r>
        <w:rPr>
          <w:rFonts w:hint="eastAsia"/>
          <w:bCs/>
          <w:color w:val="auto"/>
          <w:szCs w:val="20"/>
          <w:highlight w:val="none"/>
          <w:lang w:val="en-US" w:eastAsia="zh-CN"/>
        </w:rPr>
        <w:t>9</w:t>
      </w:r>
      <w:r>
        <w:rPr>
          <w:rFonts w:hint="eastAsia"/>
          <w:bCs/>
          <w:color w:val="auto"/>
          <w:szCs w:val="20"/>
          <w:highlight w:val="none"/>
        </w:rPr>
        <w:t>月</w:t>
      </w:r>
      <w:r>
        <w:rPr>
          <w:rFonts w:hint="eastAsia"/>
          <w:bCs/>
          <w:color w:val="auto"/>
          <w:szCs w:val="20"/>
          <w:highlight w:val="none"/>
          <w:lang w:val="en-US" w:eastAsia="zh-CN"/>
        </w:rPr>
        <w:t>25</w:t>
      </w:r>
      <w:r>
        <w:rPr>
          <w:rFonts w:hint="eastAsia"/>
          <w:bCs/>
          <w:color w:val="auto"/>
          <w:szCs w:val="20"/>
          <w:highlight w:val="none"/>
        </w:rPr>
        <w:t>日至</w:t>
      </w:r>
      <w:r>
        <w:rPr>
          <w:rFonts w:hint="eastAsia"/>
          <w:bCs/>
          <w:color w:val="auto"/>
          <w:szCs w:val="20"/>
          <w:highlight w:val="none"/>
          <w:lang w:val="en-US" w:eastAsia="zh-CN"/>
        </w:rPr>
        <w:t>2025</w:t>
      </w:r>
      <w:r>
        <w:rPr>
          <w:rFonts w:hint="eastAsia"/>
          <w:bCs/>
          <w:color w:val="auto"/>
          <w:szCs w:val="20"/>
          <w:highlight w:val="none"/>
        </w:rPr>
        <w:t>年</w:t>
      </w:r>
      <w:r>
        <w:rPr>
          <w:rFonts w:hint="eastAsia"/>
          <w:bCs/>
          <w:color w:val="auto"/>
          <w:szCs w:val="20"/>
          <w:highlight w:val="none"/>
          <w:lang w:val="en-US" w:eastAsia="zh-CN"/>
        </w:rPr>
        <w:t>10</w:t>
      </w:r>
      <w:r>
        <w:rPr>
          <w:rFonts w:hint="eastAsia"/>
          <w:bCs/>
          <w:color w:val="auto"/>
          <w:szCs w:val="20"/>
          <w:highlight w:val="none"/>
        </w:rPr>
        <w:t>月</w:t>
      </w:r>
      <w:r>
        <w:rPr>
          <w:rFonts w:hint="eastAsia"/>
          <w:bCs/>
          <w:color w:val="auto"/>
          <w:szCs w:val="20"/>
          <w:highlight w:val="none"/>
          <w:lang w:val="en-US" w:eastAsia="zh-CN"/>
        </w:rPr>
        <w:t>15</w:t>
      </w:r>
      <w:r>
        <w:rPr>
          <w:rFonts w:hint="eastAsia"/>
          <w:bCs/>
          <w:color w:val="auto"/>
          <w:szCs w:val="20"/>
          <w:highlight w:val="none"/>
        </w:rPr>
        <w:t>日期间下载</w:t>
      </w:r>
      <w:r>
        <w:rPr>
          <w:rFonts w:hint="eastAsia"/>
          <w:bCs/>
          <w:color w:val="auto"/>
          <w:szCs w:val="20"/>
        </w:rPr>
        <w:t>招商</w:t>
      </w:r>
      <w:r>
        <w:rPr>
          <w:rFonts w:hint="eastAsia"/>
          <w:bCs/>
          <w:color w:val="000000" w:themeColor="text1"/>
          <w:szCs w:val="20"/>
        </w:rPr>
        <w:t>文件（见附件），根据招商文件要求制作竞商文件。</w:t>
      </w:r>
    </w:p>
    <w:p w14:paraId="5D8288E8">
      <w:pPr>
        <w:spacing w:line="500" w:lineRule="exact"/>
        <w:ind w:firstLine="482" w:firstLineChars="200"/>
        <w:rPr>
          <w:b/>
          <w:bCs/>
          <w:color w:val="000000" w:themeColor="text1"/>
          <w:szCs w:val="20"/>
        </w:rPr>
      </w:pPr>
      <w:r>
        <w:rPr>
          <w:b/>
          <w:bCs/>
          <w:color w:val="000000" w:themeColor="text1"/>
          <w:szCs w:val="20"/>
        </w:rPr>
        <w:t>4.</w:t>
      </w:r>
      <w:r>
        <w:rPr>
          <w:rFonts w:hint="eastAsia"/>
          <w:b/>
          <w:bCs/>
          <w:color w:val="000000" w:themeColor="text1"/>
          <w:szCs w:val="20"/>
        </w:rPr>
        <w:t>竞商文件递交要求：</w:t>
      </w:r>
    </w:p>
    <w:p w14:paraId="7FD23ACA">
      <w:pPr>
        <w:spacing w:line="500" w:lineRule="exact"/>
        <w:ind w:firstLine="480" w:firstLineChars="200"/>
        <w:rPr>
          <w:bCs/>
          <w:color w:val="000000" w:themeColor="text1"/>
          <w:szCs w:val="20"/>
        </w:rPr>
      </w:pPr>
      <w:r>
        <w:rPr>
          <w:rFonts w:hint="eastAsia"/>
          <w:bCs/>
          <w:color w:val="000000" w:themeColor="text1"/>
          <w:szCs w:val="20"/>
        </w:rPr>
        <w:t>竞商</w:t>
      </w:r>
      <w:r>
        <w:rPr>
          <w:rFonts w:hint="eastAsia"/>
          <w:bCs/>
          <w:color w:val="auto"/>
          <w:szCs w:val="20"/>
        </w:rPr>
        <w:t>人</w:t>
      </w:r>
      <w:r>
        <w:rPr>
          <w:rFonts w:hint="eastAsia"/>
          <w:bCs/>
          <w:color w:val="auto"/>
          <w:szCs w:val="20"/>
          <w:highlight w:val="none"/>
        </w:rPr>
        <w:t>于</w:t>
      </w:r>
      <w:r>
        <w:rPr>
          <w:rFonts w:hint="eastAsia"/>
          <w:bCs/>
          <w:color w:val="auto"/>
          <w:szCs w:val="20"/>
          <w:highlight w:val="none"/>
          <w:lang w:val="en-US" w:eastAsia="zh-CN"/>
        </w:rPr>
        <w:t>2025</w:t>
      </w:r>
      <w:r>
        <w:rPr>
          <w:rFonts w:hint="eastAsia"/>
          <w:bCs/>
          <w:color w:val="auto"/>
          <w:szCs w:val="20"/>
          <w:highlight w:val="none"/>
        </w:rPr>
        <w:t>年</w:t>
      </w:r>
      <w:r>
        <w:rPr>
          <w:rFonts w:hint="eastAsia"/>
          <w:bCs/>
          <w:color w:val="auto"/>
          <w:szCs w:val="20"/>
          <w:highlight w:val="none"/>
          <w:lang w:val="en-US" w:eastAsia="zh-CN"/>
        </w:rPr>
        <w:t>10</w:t>
      </w:r>
      <w:r>
        <w:rPr>
          <w:rFonts w:hint="eastAsia"/>
          <w:bCs/>
          <w:color w:val="auto"/>
          <w:szCs w:val="20"/>
          <w:highlight w:val="none"/>
        </w:rPr>
        <w:t>月</w:t>
      </w:r>
      <w:r>
        <w:rPr>
          <w:rFonts w:hint="eastAsia"/>
          <w:bCs/>
          <w:color w:val="auto"/>
          <w:szCs w:val="20"/>
          <w:highlight w:val="none"/>
          <w:lang w:val="en-US" w:eastAsia="zh-CN"/>
        </w:rPr>
        <w:t>15</w:t>
      </w:r>
      <w:r>
        <w:rPr>
          <w:rFonts w:hint="eastAsia"/>
          <w:bCs/>
          <w:color w:val="auto"/>
          <w:szCs w:val="20"/>
          <w:highlight w:val="none"/>
        </w:rPr>
        <w:t>日</w:t>
      </w:r>
      <w:r>
        <w:rPr>
          <w:rFonts w:hint="eastAsia"/>
          <w:bCs/>
          <w:color w:val="auto"/>
          <w:szCs w:val="20"/>
          <w:highlight w:val="none"/>
          <w:lang w:val="en-US" w:eastAsia="zh-CN"/>
        </w:rPr>
        <w:t>13</w:t>
      </w:r>
      <w:r>
        <w:rPr>
          <w:bCs/>
          <w:color w:val="auto"/>
          <w:szCs w:val="20"/>
          <w:highlight w:val="none"/>
        </w:rPr>
        <w:t>:</w:t>
      </w:r>
      <w:r>
        <w:rPr>
          <w:rFonts w:hint="eastAsia"/>
          <w:bCs/>
          <w:color w:val="auto"/>
          <w:szCs w:val="20"/>
          <w:highlight w:val="none"/>
          <w:lang w:val="en-US" w:eastAsia="zh-CN"/>
        </w:rPr>
        <w:t>30-14</w:t>
      </w:r>
      <w:r>
        <w:rPr>
          <w:bCs/>
          <w:color w:val="auto"/>
          <w:szCs w:val="20"/>
          <w:highlight w:val="none"/>
        </w:rPr>
        <w:t>:</w:t>
      </w:r>
      <w:r>
        <w:rPr>
          <w:rFonts w:hint="eastAsia"/>
          <w:bCs/>
          <w:color w:val="auto"/>
          <w:szCs w:val="20"/>
          <w:highlight w:val="none"/>
          <w:lang w:val="en-US" w:eastAsia="zh-CN"/>
        </w:rPr>
        <w:t>00</w:t>
      </w:r>
      <w:r>
        <w:rPr>
          <w:rFonts w:hint="eastAsia"/>
          <w:bCs/>
          <w:color w:val="auto"/>
          <w:szCs w:val="20"/>
          <w:highlight w:val="none"/>
        </w:rPr>
        <w:t>将封装完</w:t>
      </w:r>
      <w:r>
        <w:rPr>
          <w:rFonts w:hint="eastAsia"/>
          <w:bCs/>
          <w:color w:val="000000" w:themeColor="text1"/>
          <w:szCs w:val="20"/>
          <w:highlight w:val="none"/>
        </w:rPr>
        <w:t>成后</w:t>
      </w:r>
      <w:r>
        <w:rPr>
          <w:rFonts w:hint="eastAsia"/>
          <w:bCs/>
          <w:color w:val="000000" w:themeColor="text1"/>
          <w:szCs w:val="20"/>
        </w:rPr>
        <w:t>的竞商文件一份正本、五份副本及一份</w:t>
      </w:r>
      <w:r>
        <w:rPr>
          <w:bCs/>
          <w:color w:val="000000" w:themeColor="text1"/>
          <w:szCs w:val="20"/>
        </w:rPr>
        <w:t>U</w:t>
      </w:r>
      <w:r>
        <w:rPr>
          <w:rFonts w:hint="eastAsia"/>
          <w:bCs/>
          <w:color w:val="000000" w:themeColor="text1"/>
          <w:szCs w:val="20"/>
        </w:rPr>
        <w:t>盘，密封在一个大封袋内，竞商人携带法人授权委托书或法定代表人身份证明、加盖公章及竞商保证金凭证复印件（银行转账凭证），至上海市静安区西藏北路</w:t>
      </w:r>
      <w:r>
        <w:rPr>
          <w:bCs/>
          <w:color w:val="000000" w:themeColor="text1"/>
          <w:szCs w:val="20"/>
        </w:rPr>
        <w:t>485</w:t>
      </w:r>
      <w:r>
        <w:rPr>
          <w:rFonts w:hint="eastAsia"/>
          <w:bCs/>
          <w:color w:val="000000" w:themeColor="text1"/>
          <w:szCs w:val="20"/>
        </w:rPr>
        <w:t>号</w:t>
      </w:r>
      <w:r>
        <w:rPr>
          <w:bCs/>
          <w:color w:val="000000" w:themeColor="text1"/>
          <w:szCs w:val="20"/>
        </w:rPr>
        <w:t>2</w:t>
      </w:r>
      <w:r>
        <w:rPr>
          <w:rFonts w:hint="eastAsia"/>
          <w:bCs/>
          <w:color w:val="000000" w:themeColor="text1"/>
          <w:szCs w:val="20"/>
        </w:rPr>
        <w:t>号楼标准化交易基地线下递交至招商人（不可邮寄）。递交竞商文件并缴纳竞商保证金的商家视为接受上铁文旅传媒集团公司本次《招商公告》和《招商文件》等所有条款。</w:t>
      </w:r>
    </w:p>
    <w:p w14:paraId="7467F82E">
      <w:pPr>
        <w:spacing w:line="500" w:lineRule="exact"/>
        <w:ind w:firstLine="482" w:firstLineChars="200"/>
        <w:rPr>
          <w:b/>
          <w:bCs/>
          <w:color w:val="000000" w:themeColor="text1"/>
          <w:szCs w:val="20"/>
        </w:rPr>
      </w:pPr>
      <w:r>
        <w:rPr>
          <w:b/>
          <w:bCs/>
          <w:color w:val="000000" w:themeColor="text1"/>
          <w:szCs w:val="20"/>
        </w:rPr>
        <w:t>5.</w:t>
      </w:r>
      <w:r>
        <w:rPr>
          <w:rFonts w:hint="eastAsia"/>
          <w:b/>
          <w:bCs/>
          <w:color w:val="000000" w:themeColor="text1"/>
          <w:szCs w:val="20"/>
        </w:rPr>
        <w:t>竞商报名时间及方式：</w:t>
      </w:r>
    </w:p>
    <w:p w14:paraId="6CC490DA">
      <w:pPr>
        <w:spacing w:line="500" w:lineRule="exact"/>
        <w:ind w:firstLine="480" w:firstLineChars="200"/>
        <w:rPr>
          <w:bCs/>
          <w:color w:val="000000" w:themeColor="text1"/>
          <w:szCs w:val="20"/>
        </w:rPr>
      </w:pPr>
      <w:r>
        <w:rPr>
          <w:rFonts w:hint="eastAsia"/>
          <w:bCs/>
          <w:color w:val="000000" w:themeColor="text1"/>
          <w:szCs w:val="20"/>
        </w:rPr>
        <w:t>竞</w:t>
      </w:r>
      <w:r>
        <w:rPr>
          <w:rFonts w:hint="eastAsia"/>
          <w:bCs/>
          <w:color w:val="auto"/>
          <w:szCs w:val="20"/>
        </w:rPr>
        <w:t>商</w:t>
      </w:r>
      <w:r>
        <w:rPr>
          <w:rFonts w:hint="eastAsia"/>
          <w:bCs/>
          <w:color w:val="auto"/>
          <w:szCs w:val="20"/>
          <w:highlight w:val="none"/>
        </w:rPr>
        <w:t>人于</w:t>
      </w:r>
      <w:r>
        <w:rPr>
          <w:rFonts w:hint="eastAsia"/>
          <w:bCs/>
          <w:color w:val="auto"/>
          <w:szCs w:val="20"/>
          <w:highlight w:val="none"/>
          <w:lang w:val="en-US" w:eastAsia="zh-CN"/>
        </w:rPr>
        <w:t>2025</w:t>
      </w:r>
      <w:r>
        <w:rPr>
          <w:rFonts w:hint="eastAsia"/>
          <w:bCs/>
          <w:color w:val="auto"/>
          <w:szCs w:val="20"/>
          <w:highlight w:val="none"/>
        </w:rPr>
        <w:t>年</w:t>
      </w:r>
      <w:r>
        <w:rPr>
          <w:rFonts w:hint="eastAsia"/>
          <w:bCs/>
          <w:color w:val="auto"/>
          <w:szCs w:val="20"/>
          <w:highlight w:val="none"/>
          <w:lang w:val="en-US" w:eastAsia="zh-CN"/>
        </w:rPr>
        <w:t>10</w:t>
      </w:r>
      <w:r>
        <w:rPr>
          <w:rFonts w:hint="eastAsia"/>
          <w:bCs/>
          <w:color w:val="auto"/>
          <w:szCs w:val="20"/>
          <w:highlight w:val="none"/>
        </w:rPr>
        <w:t>月</w:t>
      </w:r>
      <w:r>
        <w:rPr>
          <w:rFonts w:hint="eastAsia"/>
          <w:bCs/>
          <w:color w:val="auto"/>
          <w:szCs w:val="20"/>
          <w:highlight w:val="none"/>
          <w:lang w:val="en-US" w:eastAsia="zh-CN"/>
        </w:rPr>
        <w:t>15</w:t>
      </w:r>
      <w:r>
        <w:rPr>
          <w:rFonts w:hint="eastAsia"/>
          <w:bCs/>
          <w:color w:val="auto"/>
          <w:szCs w:val="20"/>
          <w:highlight w:val="none"/>
        </w:rPr>
        <w:t>日</w:t>
      </w:r>
      <w:r>
        <w:rPr>
          <w:rFonts w:hint="eastAsia"/>
          <w:bCs/>
          <w:color w:val="auto"/>
          <w:szCs w:val="20"/>
          <w:highlight w:val="none"/>
          <w:lang w:val="en-US" w:eastAsia="zh-CN"/>
        </w:rPr>
        <w:t>14</w:t>
      </w:r>
      <w:r>
        <w:rPr>
          <w:bCs/>
          <w:color w:val="auto"/>
          <w:szCs w:val="20"/>
          <w:highlight w:val="none"/>
        </w:rPr>
        <w:t>:</w:t>
      </w:r>
      <w:r>
        <w:rPr>
          <w:rFonts w:hint="eastAsia"/>
          <w:bCs/>
          <w:color w:val="auto"/>
          <w:szCs w:val="20"/>
          <w:highlight w:val="none"/>
          <w:lang w:val="en-US" w:eastAsia="zh-CN"/>
        </w:rPr>
        <w:t>00-16</w:t>
      </w:r>
      <w:r>
        <w:rPr>
          <w:bCs/>
          <w:color w:val="auto"/>
          <w:szCs w:val="20"/>
          <w:highlight w:val="none"/>
        </w:rPr>
        <w:t>:</w:t>
      </w:r>
      <w:r>
        <w:rPr>
          <w:rFonts w:hint="eastAsia"/>
          <w:bCs/>
          <w:color w:val="auto"/>
          <w:szCs w:val="20"/>
          <w:highlight w:val="none"/>
          <w:lang w:val="en-US" w:eastAsia="zh-CN"/>
        </w:rPr>
        <w:t>00</w:t>
      </w:r>
      <w:r>
        <w:rPr>
          <w:rFonts w:hint="eastAsia"/>
          <w:bCs/>
          <w:color w:val="auto"/>
          <w:szCs w:val="20"/>
          <w:highlight w:val="none"/>
        </w:rPr>
        <w:t>之</w:t>
      </w:r>
      <w:r>
        <w:rPr>
          <w:rFonts w:hint="eastAsia"/>
          <w:bCs/>
          <w:color w:val="auto"/>
          <w:szCs w:val="20"/>
          <w:highlight w:val="none"/>
          <w:lang w:eastAsia="zh-CN"/>
        </w:rPr>
        <w:t>间</w:t>
      </w:r>
      <w:r>
        <w:rPr>
          <w:rFonts w:hint="eastAsia"/>
          <w:bCs/>
          <w:color w:val="auto"/>
          <w:szCs w:val="20"/>
          <w:highlight w:val="none"/>
        </w:rPr>
        <w:t>在</w:t>
      </w:r>
      <w:r>
        <w:rPr>
          <w:rFonts w:hint="eastAsia"/>
          <w:bCs/>
          <w:color w:val="000000" w:themeColor="text1"/>
          <w:szCs w:val="20"/>
          <w:highlight w:val="none"/>
        </w:rPr>
        <w:t>国</w:t>
      </w:r>
      <w:r>
        <w:rPr>
          <w:rFonts w:hint="eastAsia"/>
          <w:bCs/>
          <w:color w:val="000000" w:themeColor="text1"/>
          <w:szCs w:val="20"/>
        </w:rPr>
        <w:t>铁招商平台完成报名，线上报名确认方式：打开国铁招商平台（</w:t>
      </w:r>
      <w:r>
        <w:rPr>
          <w:bCs/>
          <w:color w:val="000000" w:themeColor="text1"/>
          <w:szCs w:val="20"/>
        </w:rPr>
        <w:t>https</w:t>
      </w:r>
      <w:r>
        <w:rPr>
          <w:rFonts w:hint="eastAsia"/>
          <w:bCs/>
          <w:color w:val="000000" w:themeColor="text1"/>
          <w:szCs w:val="20"/>
        </w:rPr>
        <w:t>：</w:t>
      </w:r>
      <w:r>
        <w:rPr>
          <w:bCs/>
          <w:color w:val="000000" w:themeColor="text1"/>
          <w:szCs w:val="20"/>
        </w:rPr>
        <w:t>//zs.95306.cn</w:t>
      </w:r>
      <w:r>
        <w:rPr>
          <w:rFonts w:hint="eastAsia"/>
          <w:bCs/>
          <w:color w:val="000000" w:themeColor="text1"/>
          <w:szCs w:val="20"/>
        </w:rPr>
        <w:t>）→注册→登录→成功登录系统后，在首页找到本招商公告信息并点击“参与报名”进行报名。具体操作方法请查阅该网站首页底部“帮助中心”的《登录注册流程》、《竞商人操作手册》或咨询网站客服电话</w:t>
      </w:r>
      <w:r>
        <w:rPr>
          <w:bCs/>
          <w:color w:val="000000" w:themeColor="text1"/>
          <w:szCs w:val="20"/>
        </w:rPr>
        <w:t>010-95306-8-3</w:t>
      </w:r>
      <w:r>
        <w:rPr>
          <w:rFonts w:hint="eastAsia"/>
          <w:bCs/>
          <w:color w:val="000000" w:themeColor="text1"/>
          <w:szCs w:val="20"/>
        </w:rPr>
        <w:t>（忘记登录账户或密码信息的，可咨询客服电话）。网站注册信息核对需</w:t>
      </w:r>
      <w:r>
        <w:rPr>
          <w:bCs/>
          <w:color w:val="000000" w:themeColor="text1"/>
          <w:szCs w:val="20"/>
        </w:rPr>
        <w:t>1</w:t>
      </w:r>
      <w:r>
        <w:rPr>
          <w:rFonts w:hint="eastAsia"/>
          <w:bCs/>
          <w:color w:val="000000" w:themeColor="text1"/>
          <w:szCs w:val="20"/>
        </w:rPr>
        <w:t>个工作日，请尽早办理，以免影响招商报名。</w:t>
      </w:r>
    </w:p>
    <w:p w14:paraId="4C13431B">
      <w:pPr>
        <w:spacing w:line="500" w:lineRule="exact"/>
        <w:ind w:firstLine="482" w:firstLineChars="200"/>
        <w:rPr>
          <w:bCs/>
          <w:color w:val="000000" w:themeColor="text1"/>
          <w:szCs w:val="20"/>
        </w:rPr>
      </w:pPr>
      <w:r>
        <w:rPr>
          <w:b/>
          <w:bCs/>
          <w:color w:val="000000" w:themeColor="text1"/>
          <w:szCs w:val="20"/>
        </w:rPr>
        <w:t>6.</w:t>
      </w:r>
      <w:r>
        <w:rPr>
          <w:rFonts w:hint="eastAsia"/>
          <w:b/>
          <w:bCs/>
          <w:color w:val="000000" w:themeColor="text1"/>
          <w:szCs w:val="20"/>
        </w:rPr>
        <w:t>竞商保证金缴纳：</w:t>
      </w:r>
    </w:p>
    <w:p w14:paraId="66ACB641">
      <w:pPr>
        <w:spacing w:line="500" w:lineRule="exact"/>
        <w:ind w:firstLine="480" w:firstLineChars="200"/>
        <w:rPr>
          <w:bCs/>
          <w:color w:val="000000" w:themeColor="text1"/>
          <w:szCs w:val="20"/>
          <w:highlight w:val="yellow"/>
        </w:rPr>
      </w:pPr>
      <w:r>
        <w:rPr>
          <w:rFonts w:hint="eastAsia"/>
          <w:bCs/>
          <w:color w:val="000000" w:themeColor="text1"/>
          <w:szCs w:val="20"/>
        </w:rPr>
        <w:t>竞商</w:t>
      </w:r>
      <w:r>
        <w:rPr>
          <w:rFonts w:hint="eastAsia"/>
          <w:bCs/>
          <w:color w:val="000000" w:themeColor="text1"/>
          <w:szCs w:val="20"/>
          <w:highlight w:val="none"/>
        </w:rPr>
        <w:t>人</w:t>
      </w:r>
      <w:r>
        <w:rPr>
          <w:rFonts w:hint="eastAsia"/>
          <w:bCs/>
          <w:color w:val="auto"/>
          <w:szCs w:val="20"/>
          <w:highlight w:val="none"/>
        </w:rPr>
        <w:t>应在</w:t>
      </w:r>
      <w:r>
        <w:rPr>
          <w:rFonts w:hint="eastAsia"/>
          <w:bCs/>
          <w:color w:val="auto"/>
          <w:szCs w:val="20"/>
          <w:highlight w:val="none"/>
          <w:lang w:val="en-US" w:eastAsia="zh-CN"/>
        </w:rPr>
        <w:t>2025</w:t>
      </w:r>
      <w:r>
        <w:rPr>
          <w:rFonts w:hint="eastAsia"/>
          <w:bCs/>
          <w:color w:val="auto"/>
          <w:szCs w:val="20"/>
          <w:highlight w:val="none"/>
        </w:rPr>
        <w:t>年</w:t>
      </w:r>
      <w:r>
        <w:rPr>
          <w:rFonts w:hint="eastAsia"/>
          <w:bCs/>
          <w:color w:val="auto"/>
          <w:szCs w:val="20"/>
          <w:highlight w:val="none"/>
          <w:lang w:val="en-US" w:eastAsia="zh-CN"/>
        </w:rPr>
        <w:t>10</w:t>
      </w:r>
      <w:r>
        <w:rPr>
          <w:rFonts w:hint="eastAsia"/>
          <w:bCs/>
          <w:color w:val="auto"/>
          <w:szCs w:val="20"/>
          <w:highlight w:val="none"/>
        </w:rPr>
        <w:t>月</w:t>
      </w:r>
      <w:r>
        <w:rPr>
          <w:rFonts w:hint="eastAsia"/>
          <w:bCs/>
          <w:color w:val="auto"/>
          <w:szCs w:val="20"/>
          <w:highlight w:val="none"/>
          <w:lang w:val="en-US" w:eastAsia="zh-CN"/>
        </w:rPr>
        <w:t>11</w:t>
      </w:r>
      <w:r>
        <w:rPr>
          <w:rFonts w:hint="eastAsia"/>
          <w:bCs/>
          <w:color w:val="auto"/>
          <w:szCs w:val="20"/>
          <w:highlight w:val="none"/>
        </w:rPr>
        <w:t>日</w:t>
      </w:r>
      <w:r>
        <w:rPr>
          <w:rFonts w:hint="eastAsia"/>
          <w:bCs/>
          <w:color w:val="auto"/>
          <w:szCs w:val="20"/>
          <w:highlight w:val="none"/>
          <w:lang w:eastAsia="zh-CN"/>
        </w:rPr>
        <w:t>下午</w:t>
      </w:r>
      <w:r>
        <w:rPr>
          <w:rFonts w:hint="eastAsia"/>
          <w:bCs/>
          <w:color w:val="auto"/>
          <w:szCs w:val="20"/>
          <w:highlight w:val="none"/>
          <w:lang w:val="en-US" w:eastAsia="zh-CN"/>
        </w:rPr>
        <w:t>17</w:t>
      </w:r>
      <w:r>
        <w:rPr>
          <w:rFonts w:hint="eastAsia"/>
          <w:bCs/>
          <w:color w:val="auto"/>
          <w:szCs w:val="20"/>
          <w:highlight w:val="none"/>
        </w:rPr>
        <w:t>时之前以</w:t>
      </w:r>
      <w:r>
        <w:rPr>
          <w:rFonts w:hint="eastAsia"/>
          <w:bCs/>
          <w:color w:val="000000" w:themeColor="text1"/>
          <w:szCs w:val="20"/>
          <w:highlight w:val="none"/>
        </w:rPr>
        <w:t>其自身</w:t>
      </w:r>
      <w:r>
        <w:rPr>
          <w:rFonts w:hint="eastAsia"/>
          <w:bCs/>
          <w:color w:val="000000" w:themeColor="text1"/>
          <w:szCs w:val="20"/>
        </w:rPr>
        <w:t>的名义向上海铁路文旅传媒集团有限公司提交竞商保证金或第三方担保方式，并作为其竞商文件的一部分，缴纳竞商保证金金额为人民币</w:t>
      </w:r>
      <w:r>
        <w:rPr>
          <w:rFonts w:hint="eastAsia"/>
          <w:bCs/>
          <w:color w:val="auto"/>
          <w:szCs w:val="20"/>
          <w:lang w:val="en-US" w:eastAsia="zh-CN"/>
        </w:rPr>
        <w:t>5</w:t>
      </w:r>
      <w:r>
        <w:rPr>
          <w:rFonts w:hint="eastAsia"/>
          <w:bCs/>
          <w:color w:val="000000" w:themeColor="text1"/>
          <w:szCs w:val="20"/>
        </w:rPr>
        <w:t>万元，并备注参与的项目招</w:t>
      </w:r>
      <w:r>
        <w:rPr>
          <w:rFonts w:hint="eastAsia"/>
          <w:bCs/>
          <w:color w:val="auto"/>
          <w:szCs w:val="20"/>
        </w:rPr>
        <w:t>商编号</w:t>
      </w:r>
      <w:r>
        <w:rPr>
          <w:bCs/>
          <w:color w:val="auto"/>
          <w:szCs w:val="20"/>
        </w:rPr>
        <w:t xml:space="preserve">: </w:t>
      </w:r>
      <w:bookmarkStart w:id="23" w:name="OLE_LINK10"/>
      <w:bookmarkStart w:id="24" w:name="OLE_LINK9"/>
      <w:r>
        <w:rPr>
          <w:bCs/>
          <w:color w:val="auto"/>
          <w:szCs w:val="20"/>
        </w:rPr>
        <w:t>SL-</w:t>
      </w:r>
      <w:r>
        <w:rPr>
          <w:rFonts w:hint="eastAsia"/>
          <w:bCs/>
          <w:color w:val="auto"/>
          <w:szCs w:val="20"/>
          <w:lang w:val="en-US" w:eastAsia="zh-CN"/>
        </w:rPr>
        <w:t>2025</w:t>
      </w:r>
      <w:r>
        <w:rPr>
          <w:bCs/>
          <w:color w:val="auto"/>
          <w:szCs w:val="20"/>
        </w:rPr>
        <w:t>-</w:t>
      </w:r>
      <w:r>
        <w:rPr>
          <w:rFonts w:hint="eastAsia"/>
          <w:bCs/>
          <w:color w:val="auto"/>
          <w:szCs w:val="20"/>
          <w:lang w:val="en-US" w:eastAsia="zh-CN"/>
        </w:rPr>
        <w:t>9</w:t>
      </w:r>
      <w:r>
        <w:rPr>
          <w:bCs/>
          <w:color w:val="auto"/>
          <w:szCs w:val="20"/>
        </w:rPr>
        <w:t>-</w:t>
      </w:r>
      <w:bookmarkEnd w:id="23"/>
      <w:bookmarkEnd w:id="24"/>
      <w:r>
        <w:rPr>
          <w:rFonts w:hint="eastAsia"/>
          <w:bCs/>
          <w:color w:val="auto"/>
          <w:szCs w:val="20"/>
          <w:lang w:val="en-US" w:eastAsia="zh-CN"/>
        </w:rPr>
        <w:t>25</w:t>
      </w:r>
      <w:r>
        <w:rPr>
          <w:rFonts w:hint="eastAsia"/>
          <w:bCs/>
          <w:color w:val="auto"/>
          <w:szCs w:val="20"/>
        </w:rPr>
        <w:t>。</w:t>
      </w:r>
    </w:p>
    <w:p w14:paraId="317DDD99">
      <w:pPr>
        <w:spacing w:line="500" w:lineRule="exact"/>
        <w:ind w:firstLine="480" w:firstLineChars="200"/>
        <w:rPr>
          <w:bCs/>
          <w:color w:val="000000" w:themeColor="text1"/>
          <w:szCs w:val="20"/>
        </w:rPr>
      </w:pPr>
      <w:r>
        <w:rPr>
          <w:rFonts w:hint="eastAsia"/>
          <w:bCs/>
          <w:color w:val="000000" w:themeColor="text1"/>
          <w:szCs w:val="20"/>
        </w:rPr>
        <w:t>递交方式：</w:t>
      </w:r>
    </w:p>
    <w:p w14:paraId="0CB2E38E">
      <w:pPr>
        <w:spacing w:line="500" w:lineRule="exact"/>
        <w:ind w:firstLine="480" w:firstLineChars="200"/>
        <w:rPr>
          <w:bCs/>
          <w:color w:val="000000" w:themeColor="text1"/>
          <w:szCs w:val="20"/>
        </w:rPr>
      </w:pPr>
      <w:r>
        <w:rPr>
          <w:rFonts w:hint="eastAsia"/>
          <w:bCs/>
          <w:color w:val="000000" w:themeColor="text1"/>
          <w:szCs w:val="20"/>
        </w:rPr>
        <w:t>投标保证金的形式：（以下两种形式任选一种，不接受银行保函、现钞交纳及支票等方式递交的投标保证金）</w:t>
      </w:r>
    </w:p>
    <w:p w14:paraId="40CA0D14">
      <w:pPr>
        <w:spacing w:line="500" w:lineRule="exact"/>
        <w:ind w:firstLine="480" w:firstLineChars="200"/>
        <w:rPr>
          <w:bCs/>
          <w:color w:val="000000" w:themeColor="text1"/>
          <w:szCs w:val="20"/>
        </w:rPr>
      </w:pPr>
      <w:r>
        <w:rPr>
          <w:rFonts w:hint="eastAsia"/>
          <w:bCs/>
          <w:color w:val="000000" w:themeColor="text1"/>
          <w:szCs w:val="20"/>
        </w:rPr>
        <w:t>A</w:t>
      </w:r>
      <w:r>
        <w:rPr>
          <w:rFonts w:hint="eastAsia"/>
          <w:bCs/>
          <w:color w:val="000000" w:themeColor="text1"/>
          <w:szCs w:val="20"/>
          <w:lang w:eastAsia="zh-CN"/>
        </w:rPr>
        <w:t>.</w:t>
      </w:r>
      <w:r>
        <w:rPr>
          <w:rFonts w:hint="eastAsia"/>
          <w:bCs/>
          <w:color w:val="000000" w:themeColor="text1"/>
          <w:szCs w:val="20"/>
        </w:rPr>
        <w:t>第三方担保：竞商人以保险形式办理</w:t>
      </w:r>
    </w:p>
    <w:p w14:paraId="63484C50">
      <w:pPr>
        <w:spacing w:line="500" w:lineRule="exact"/>
        <w:ind w:firstLine="480" w:firstLineChars="200"/>
        <w:rPr>
          <w:bCs/>
          <w:color w:val="000000" w:themeColor="text1"/>
          <w:szCs w:val="20"/>
        </w:rPr>
      </w:pPr>
      <w:r>
        <w:rPr>
          <w:rFonts w:hint="eastAsia"/>
          <w:bCs/>
          <w:color w:val="000000" w:themeColor="text1"/>
          <w:szCs w:val="20"/>
        </w:rPr>
        <w:t>办理地址: https://shtl.jinhanwang.cn/</w:t>
      </w:r>
    </w:p>
    <w:p w14:paraId="510875FF">
      <w:pPr>
        <w:spacing w:line="500" w:lineRule="exact"/>
        <w:ind w:firstLine="480" w:firstLineChars="200"/>
        <w:rPr>
          <w:bCs/>
          <w:color w:val="000000" w:themeColor="text1"/>
          <w:szCs w:val="20"/>
        </w:rPr>
      </w:pPr>
      <w:r>
        <w:rPr>
          <w:rFonts w:hint="eastAsia"/>
          <w:bCs/>
          <w:color w:val="000000" w:themeColor="text1"/>
          <w:szCs w:val="20"/>
        </w:rPr>
        <w:t>服务热线：</w:t>
      </w:r>
    </w:p>
    <w:p w14:paraId="6C4423DE">
      <w:pPr>
        <w:spacing w:line="500" w:lineRule="exact"/>
        <w:ind w:firstLine="480" w:firstLineChars="200"/>
        <w:rPr>
          <w:bCs/>
          <w:color w:val="000000" w:themeColor="text1"/>
          <w:szCs w:val="20"/>
        </w:rPr>
      </w:pPr>
      <w:r>
        <w:rPr>
          <w:rFonts w:hint="eastAsia"/>
          <w:bCs/>
          <w:color w:val="000000" w:themeColor="text1"/>
          <w:szCs w:val="20"/>
        </w:rPr>
        <w:t xml:space="preserve">座机:021-52998892               </w:t>
      </w:r>
    </w:p>
    <w:p w14:paraId="1F0B1B88">
      <w:pPr>
        <w:spacing w:line="500" w:lineRule="exact"/>
        <w:ind w:firstLine="480" w:firstLineChars="200"/>
        <w:rPr>
          <w:rFonts w:hint="eastAsia"/>
          <w:bCs/>
          <w:color w:val="000000" w:themeColor="text1"/>
          <w:szCs w:val="20"/>
        </w:rPr>
      </w:pPr>
      <w:r>
        <w:rPr>
          <w:rFonts w:hint="eastAsia"/>
          <w:bCs/>
          <w:color w:val="000000" w:themeColor="text1"/>
          <w:szCs w:val="20"/>
        </w:rPr>
        <w:t>手机:17891939996</w:t>
      </w:r>
    </w:p>
    <w:p w14:paraId="386CD94F">
      <w:pPr>
        <w:pStyle w:val="63"/>
        <w:rPr>
          <w:rFonts w:hint="eastAsia"/>
          <w:bCs/>
          <w:color w:val="000000" w:themeColor="text1"/>
          <w:szCs w:val="20"/>
        </w:rPr>
      </w:pPr>
    </w:p>
    <w:p w14:paraId="08174B40">
      <w:pPr>
        <w:rPr>
          <w:rFonts w:hint="eastAsia"/>
          <w:bCs/>
          <w:color w:val="000000" w:themeColor="text1"/>
          <w:szCs w:val="20"/>
        </w:rPr>
      </w:pPr>
    </w:p>
    <w:p w14:paraId="3E98E779">
      <w:pPr>
        <w:pStyle w:val="63"/>
      </w:pPr>
    </w:p>
    <w:p w14:paraId="1C83A532">
      <w:pPr>
        <w:spacing w:line="500" w:lineRule="exact"/>
        <w:ind w:firstLine="480" w:firstLineChars="200"/>
        <w:rPr>
          <w:bCs/>
          <w:color w:val="000000" w:themeColor="text1"/>
          <w:szCs w:val="20"/>
        </w:rPr>
      </w:pPr>
      <w:r>
        <w:rPr>
          <w:rFonts w:hint="eastAsia"/>
          <w:bCs/>
          <w:color w:val="000000" w:themeColor="text1"/>
          <w:szCs w:val="20"/>
        </w:rPr>
        <w:t>B.银行转账。从竞商人基本账户汇至招商单位指定的如下账户及账号</w:t>
      </w:r>
    </w:p>
    <w:p w14:paraId="2BD0F2DC">
      <w:pPr>
        <w:spacing w:line="500" w:lineRule="exact"/>
        <w:ind w:firstLine="480" w:firstLineChars="200"/>
        <w:rPr>
          <w:rFonts w:hint="eastAsia"/>
          <w:bCs/>
          <w:color w:val="000000" w:themeColor="text1"/>
          <w:szCs w:val="20"/>
        </w:rPr>
      </w:pPr>
      <w:r>
        <w:rPr>
          <w:rFonts w:hint="eastAsia"/>
          <w:bCs/>
          <w:color w:val="000000" w:themeColor="text1"/>
          <w:szCs w:val="20"/>
        </w:rPr>
        <w:t>招商文件费电汇账户</w:t>
      </w:r>
    </w:p>
    <w:p w14:paraId="08B5F9D3">
      <w:pPr>
        <w:pStyle w:val="63"/>
        <w:rPr>
          <w:rFonts w:hint="eastAsia"/>
          <w:bCs/>
          <w:color w:val="000000" w:themeColor="text1"/>
          <w:szCs w:val="20"/>
        </w:rPr>
      </w:pPr>
    </w:p>
    <w:p w14:paraId="527ADD28">
      <w:pPr>
        <w:rPr>
          <w:rFonts w:hint="eastAsia"/>
          <w:bCs/>
          <w:color w:val="000000" w:themeColor="text1"/>
          <w:szCs w:val="20"/>
        </w:rPr>
      </w:pPr>
    </w:p>
    <w:p w14:paraId="0A9436ED">
      <w:pPr>
        <w:pStyle w:val="63"/>
      </w:pPr>
    </w:p>
    <w:tbl>
      <w:tblPr>
        <w:tblStyle w:val="52"/>
        <w:tblW w:w="0" w:type="auto"/>
        <w:tblInd w:w="7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5579"/>
      </w:tblGrid>
      <w:tr w14:paraId="2B072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2835" w:type="dxa"/>
            <w:tcBorders>
              <w:top w:val="single" w:color="auto" w:sz="4" w:space="0"/>
              <w:left w:val="single" w:color="auto" w:sz="4" w:space="0"/>
              <w:bottom w:val="single" w:color="auto" w:sz="4" w:space="0"/>
              <w:right w:val="single" w:color="auto" w:sz="4" w:space="0"/>
            </w:tcBorders>
          </w:tcPr>
          <w:p w14:paraId="56ED2EB1">
            <w:pPr>
              <w:autoSpaceDE w:val="0"/>
              <w:autoSpaceDN w:val="0"/>
              <w:adjustRightInd w:val="0"/>
              <w:snapToGrid w:val="0"/>
              <w:spacing w:line="500" w:lineRule="exact"/>
              <w:jc w:val="center"/>
              <w:rPr>
                <w:bCs/>
                <w:color w:val="000000" w:themeColor="text1"/>
                <w:kern w:val="2"/>
                <w:szCs w:val="20"/>
              </w:rPr>
            </w:pPr>
            <w:r>
              <w:rPr>
                <w:rFonts w:hint="eastAsia"/>
                <w:bCs/>
                <w:color w:val="000000" w:themeColor="text1"/>
                <w:kern w:val="2"/>
                <w:szCs w:val="20"/>
              </w:rPr>
              <w:t>单位名称</w:t>
            </w:r>
          </w:p>
        </w:tc>
        <w:tc>
          <w:tcPr>
            <w:tcW w:w="5579" w:type="dxa"/>
            <w:tcBorders>
              <w:top w:val="single" w:color="auto" w:sz="4" w:space="0"/>
              <w:left w:val="single" w:color="auto" w:sz="4" w:space="0"/>
              <w:bottom w:val="single" w:color="auto" w:sz="4" w:space="0"/>
              <w:right w:val="single" w:color="auto" w:sz="4" w:space="0"/>
            </w:tcBorders>
          </w:tcPr>
          <w:p w14:paraId="10A5E48C">
            <w:pPr>
              <w:autoSpaceDE w:val="0"/>
              <w:autoSpaceDN w:val="0"/>
              <w:adjustRightInd w:val="0"/>
              <w:snapToGrid w:val="0"/>
              <w:spacing w:line="500" w:lineRule="exact"/>
              <w:jc w:val="center"/>
              <w:rPr>
                <w:bCs/>
                <w:color w:val="000000" w:themeColor="text1"/>
                <w:kern w:val="2"/>
                <w:szCs w:val="20"/>
              </w:rPr>
            </w:pPr>
            <w:r>
              <w:rPr>
                <w:rFonts w:hint="eastAsia"/>
                <w:bCs/>
                <w:color w:val="000000" w:themeColor="text1"/>
                <w:kern w:val="2"/>
                <w:szCs w:val="20"/>
              </w:rPr>
              <w:t>上海铁路文旅传媒集团有限公司</w:t>
            </w:r>
          </w:p>
        </w:tc>
      </w:tr>
      <w:tr w14:paraId="37AB3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trPr>
        <w:tc>
          <w:tcPr>
            <w:tcW w:w="2835" w:type="dxa"/>
            <w:tcBorders>
              <w:top w:val="single" w:color="auto" w:sz="4" w:space="0"/>
              <w:left w:val="single" w:color="auto" w:sz="4" w:space="0"/>
              <w:bottom w:val="single" w:color="auto" w:sz="4" w:space="0"/>
              <w:right w:val="single" w:color="auto" w:sz="4" w:space="0"/>
            </w:tcBorders>
          </w:tcPr>
          <w:p w14:paraId="3C933217">
            <w:pPr>
              <w:autoSpaceDE w:val="0"/>
              <w:autoSpaceDN w:val="0"/>
              <w:adjustRightInd w:val="0"/>
              <w:snapToGrid w:val="0"/>
              <w:spacing w:line="500" w:lineRule="exact"/>
              <w:jc w:val="center"/>
              <w:rPr>
                <w:bCs/>
                <w:color w:val="000000" w:themeColor="text1"/>
                <w:kern w:val="2"/>
                <w:szCs w:val="20"/>
              </w:rPr>
            </w:pPr>
            <w:r>
              <w:rPr>
                <w:rFonts w:hint="eastAsia"/>
                <w:bCs/>
                <w:color w:val="000000" w:themeColor="text1"/>
                <w:kern w:val="2"/>
                <w:szCs w:val="20"/>
              </w:rPr>
              <w:t>纳税人识别号</w:t>
            </w:r>
          </w:p>
        </w:tc>
        <w:tc>
          <w:tcPr>
            <w:tcW w:w="5579" w:type="dxa"/>
            <w:tcBorders>
              <w:top w:val="single" w:color="auto" w:sz="4" w:space="0"/>
              <w:left w:val="single" w:color="auto" w:sz="4" w:space="0"/>
              <w:bottom w:val="single" w:color="auto" w:sz="4" w:space="0"/>
              <w:right w:val="single" w:color="auto" w:sz="4" w:space="0"/>
            </w:tcBorders>
          </w:tcPr>
          <w:p w14:paraId="18F30819">
            <w:pPr>
              <w:autoSpaceDE w:val="0"/>
              <w:autoSpaceDN w:val="0"/>
              <w:adjustRightInd w:val="0"/>
              <w:snapToGrid w:val="0"/>
              <w:spacing w:line="500" w:lineRule="exact"/>
              <w:jc w:val="center"/>
              <w:rPr>
                <w:bCs/>
                <w:color w:val="000000" w:themeColor="text1"/>
                <w:kern w:val="2"/>
                <w:szCs w:val="20"/>
              </w:rPr>
            </w:pPr>
            <w:r>
              <w:rPr>
                <w:bCs/>
                <w:color w:val="000000" w:themeColor="text1"/>
                <w:kern w:val="2"/>
                <w:szCs w:val="20"/>
              </w:rPr>
              <w:t>913101081322799984</w:t>
            </w:r>
          </w:p>
        </w:tc>
      </w:tr>
      <w:tr w14:paraId="3FF7B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835" w:type="dxa"/>
            <w:tcBorders>
              <w:top w:val="single" w:color="auto" w:sz="4" w:space="0"/>
              <w:left w:val="single" w:color="auto" w:sz="4" w:space="0"/>
              <w:bottom w:val="single" w:color="auto" w:sz="4" w:space="0"/>
              <w:right w:val="single" w:color="auto" w:sz="4" w:space="0"/>
            </w:tcBorders>
          </w:tcPr>
          <w:p w14:paraId="3455DCA6">
            <w:pPr>
              <w:autoSpaceDE w:val="0"/>
              <w:autoSpaceDN w:val="0"/>
              <w:adjustRightInd w:val="0"/>
              <w:snapToGrid w:val="0"/>
              <w:spacing w:line="500" w:lineRule="exact"/>
              <w:jc w:val="center"/>
              <w:rPr>
                <w:bCs/>
                <w:color w:val="000000" w:themeColor="text1"/>
                <w:kern w:val="2"/>
                <w:szCs w:val="20"/>
              </w:rPr>
            </w:pPr>
            <w:r>
              <w:rPr>
                <w:rFonts w:hint="eastAsia"/>
                <w:bCs/>
                <w:color w:val="000000" w:themeColor="text1"/>
                <w:kern w:val="2"/>
                <w:szCs w:val="20"/>
              </w:rPr>
              <w:t>地址、电话</w:t>
            </w:r>
          </w:p>
        </w:tc>
        <w:tc>
          <w:tcPr>
            <w:tcW w:w="5579" w:type="dxa"/>
            <w:tcBorders>
              <w:top w:val="single" w:color="auto" w:sz="4" w:space="0"/>
              <w:left w:val="single" w:color="auto" w:sz="4" w:space="0"/>
              <w:bottom w:val="single" w:color="auto" w:sz="4" w:space="0"/>
              <w:right w:val="single" w:color="auto" w:sz="4" w:space="0"/>
            </w:tcBorders>
          </w:tcPr>
          <w:p w14:paraId="34C3E3DA">
            <w:pPr>
              <w:autoSpaceDE w:val="0"/>
              <w:autoSpaceDN w:val="0"/>
              <w:adjustRightInd w:val="0"/>
              <w:snapToGrid w:val="0"/>
              <w:spacing w:line="500" w:lineRule="exact"/>
              <w:jc w:val="center"/>
              <w:rPr>
                <w:bCs/>
                <w:color w:val="000000" w:themeColor="text1"/>
                <w:kern w:val="2"/>
                <w:szCs w:val="20"/>
              </w:rPr>
            </w:pPr>
            <w:r>
              <w:rPr>
                <w:rFonts w:hint="eastAsia"/>
                <w:bCs/>
                <w:color w:val="000000" w:themeColor="text1"/>
                <w:kern w:val="2"/>
                <w:szCs w:val="20"/>
              </w:rPr>
              <w:t>上海市秣陵路</w:t>
            </w:r>
            <w:r>
              <w:rPr>
                <w:bCs/>
                <w:color w:val="000000" w:themeColor="text1"/>
                <w:kern w:val="2"/>
                <w:szCs w:val="20"/>
              </w:rPr>
              <w:t>355</w:t>
            </w:r>
            <w:r>
              <w:rPr>
                <w:rFonts w:hint="eastAsia"/>
                <w:bCs/>
                <w:color w:val="000000" w:themeColor="text1"/>
                <w:kern w:val="2"/>
                <w:szCs w:val="20"/>
              </w:rPr>
              <w:t>号</w:t>
            </w:r>
            <w:r>
              <w:rPr>
                <w:bCs/>
                <w:color w:val="000000" w:themeColor="text1"/>
                <w:kern w:val="2"/>
                <w:szCs w:val="20"/>
              </w:rPr>
              <w:t>7</w:t>
            </w:r>
            <w:r>
              <w:rPr>
                <w:rFonts w:hint="eastAsia"/>
                <w:bCs/>
                <w:color w:val="000000" w:themeColor="text1"/>
                <w:kern w:val="2"/>
                <w:szCs w:val="20"/>
              </w:rPr>
              <w:t>幢</w:t>
            </w:r>
            <w:r>
              <w:rPr>
                <w:bCs/>
                <w:color w:val="000000" w:themeColor="text1"/>
                <w:kern w:val="2"/>
                <w:szCs w:val="20"/>
              </w:rPr>
              <w:t>301</w:t>
            </w:r>
            <w:r>
              <w:rPr>
                <w:rFonts w:hint="eastAsia"/>
                <w:bCs/>
                <w:color w:val="000000" w:themeColor="text1"/>
                <w:kern w:val="2"/>
                <w:szCs w:val="20"/>
              </w:rPr>
              <w:t>室、</w:t>
            </w:r>
            <w:r>
              <w:rPr>
                <w:bCs/>
                <w:color w:val="000000" w:themeColor="text1"/>
                <w:kern w:val="2"/>
                <w:szCs w:val="20"/>
              </w:rPr>
              <w:t>021-51236039</w:t>
            </w:r>
          </w:p>
        </w:tc>
      </w:tr>
      <w:tr w14:paraId="67EF8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2835" w:type="dxa"/>
            <w:tcBorders>
              <w:top w:val="single" w:color="auto" w:sz="4" w:space="0"/>
              <w:left w:val="single" w:color="auto" w:sz="4" w:space="0"/>
              <w:bottom w:val="single" w:color="auto" w:sz="4" w:space="0"/>
              <w:right w:val="single" w:color="auto" w:sz="4" w:space="0"/>
            </w:tcBorders>
          </w:tcPr>
          <w:p w14:paraId="0B8652C6">
            <w:pPr>
              <w:autoSpaceDE w:val="0"/>
              <w:autoSpaceDN w:val="0"/>
              <w:adjustRightInd w:val="0"/>
              <w:snapToGrid w:val="0"/>
              <w:spacing w:line="500" w:lineRule="exact"/>
              <w:jc w:val="center"/>
              <w:rPr>
                <w:bCs/>
                <w:color w:val="000000" w:themeColor="text1"/>
                <w:kern w:val="2"/>
                <w:szCs w:val="20"/>
              </w:rPr>
            </w:pPr>
            <w:r>
              <w:rPr>
                <w:rFonts w:hint="eastAsia"/>
                <w:bCs/>
                <w:color w:val="000000" w:themeColor="text1"/>
                <w:kern w:val="2"/>
                <w:szCs w:val="20"/>
              </w:rPr>
              <w:t>开户行及账号</w:t>
            </w:r>
          </w:p>
        </w:tc>
        <w:tc>
          <w:tcPr>
            <w:tcW w:w="5579" w:type="dxa"/>
            <w:tcBorders>
              <w:top w:val="single" w:color="auto" w:sz="4" w:space="0"/>
              <w:left w:val="single" w:color="auto" w:sz="4" w:space="0"/>
              <w:bottom w:val="single" w:color="auto" w:sz="4" w:space="0"/>
              <w:right w:val="single" w:color="auto" w:sz="4" w:space="0"/>
            </w:tcBorders>
          </w:tcPr>
          <w:p w14:paraId="36038BB9">
            <w:pPr>
              <w:autoSpaceDE w:val="0"/>
              <w:autoSpaceDN w:val="0"/>
              <w:adjustRightInd w:val="0"/>
              <w:snapToGrid w:val="0"/>
              <w:spacing w:line="500" w:lineRule="exact"/>
              <w:jc w:val="center"/>
              <w:rPr>
                <w:bCs/>
                <w:color w:val="000000" w:themeColor="text1"/>
                <w:kern w:val="2"/>
                <w:szCs w:val="20"/>
              </w:rPr>
            </w:pPr>
            <w:r>
              <w:rPr>
                <w:rFonts w:hint="eastAsia"/>
                <w:bCs/>
                <w:color w:val="000000" w:themeColor="text1"/>
                <w:kern w:val="2"/>
                <w:szCs w:val="20"/>
              </w:rPr>
              <w:t>工行上海市天目东路支行</w:t>
            </w:r>
            <w:r>
              <w:rPr>
                <w:bCs/>
                <w:color w:val="000000" w:themeColor="text1"/>
                <w:kern w:val="2"/>
                <w:szCs w:val="20"/>
              </w:rPr>
              <w:t>1001215509096784647</w:t>
            </w:r>
          </w:p>
        </w:tc>
      </w:tr>
    </w:tbl>
    <w:p w14:paraId="69441C8B">
      <w:pPr>
        <w:spacing w:line="500" w:lineRule="exact"/>
        <w:ind w:firstLine="482" w:firstLineChars="200"/>
        <w:rPr>
          <w:b/>
          <w:bCs/>
          <w:color w:val="000000" w:themeColor="text1"/>
          <w:szCs w:val="20"/>
        </w:rPr>
      </w:pPr>
      <w:r>
        <w:rPr>
          <w:b/>
          <w:bCs/>
          <w:color w:val="000000" w:themeColor="text1"/>
          <w:szCs w:val="20"/>
        </w:rPr>
        <w:t>7.</w:t>
      </w:r>
      <w:r>
        <w:rPr>
          <w:rFonts w:hint="eastAsia"/>
          <w:b/>
          <w:bCs/>
          <w:color w:val="000000" w:themeColor="text1"/>
          <w:szCs w:val="20"/>
        </w:rPr>
        <w:t>招商评审时间及地点：</w:t>
      </w:r>
    </w:p>
    <w:p w14:paraId="7A3366FA">
      <w:pPr>
        <w:spacing w:line="500" w:lineRule="exact"/>
        <w:ind w:firstLine="480" w:firstLineChars="200"/>
        <w:rPr>
          <w:bCs/>
          <w:color w:val="000000" w:themeColor="text1"/>
          <w:szCs w:val="20"/>
        </w:rPr>
      </w:pPr>
      <w:r>
        <w:rPr>
          <w:rFonts w:hint="eastAsia"/>
          <w:bCs/>
          <w:color w:val="000000" w:themeColor="text1"/>
          <w:szCs w:val="20"/>
        </w:rPr>
        <w:t>招</w:t>
      </w:r>
      <w:r>
        <w:rPr>
          <w:rFonts w:hint="eastAsia"/>
          <w:bCs/>
          <w:color w:val="000000" w:themeColor="text1"/>
          <w:szCs w:val="20"/>
          <w:highlight w:val="none"/>
        </w:rPr>
        <w:t>商</w:t>
      </w:r>
      <w:r>
        <w:rPr>
          <w:rFonts w:hint="eastAsia"/>
          <w:bCs/>
          <w:color w:val="auto"/>
          <w:szCs w:val="20"/>
          <w:highlight w:val="none"/>
        </w:rPr>
        <w:t>人于</w:t>
      </w:r>
      <w:r>
        <w:rPr>
          <w:rFonts w:hint="eastAsia"/>
          <w:bCs/>
          <w:color w:val="auto"/>
          <w:szCs w:val="20"/>
          <w:highlight w:val="none"/>
          <w:lang w:val="en-US" w:eastAsia="zh-CN"/>
        </w:rPr>
        <w:t>2025</w:t>
      </w:r>
      <w:r>
        <w:rPr>
          <w:rFonts w:hint="eastAsia"/>
          <w:bCs/>
          <w:color w:val="auto"/>
          <w:szCs w:val="20"/>
          <w:highlight w:val="none"/>
        </w:rPr>
        <w:t>年</w:t>
      </w:r>
      <w:r>
        <w:rPr>
          <w:rFonts w:hint="eastAsia"/>
          <w:bCs/>
          <w:color w:val="auto"/>
          <w:szCs w:val="20"/>
          <w:highlight w:val="none"/>
          <w:lang w:val="en-US" w:eastAsia="zh-CN"/>
        </w:rPr>
        <w:t>10</w:t>
      </w:r>
      <w:r>
        <w:rPr>
          <w:rFonts w:hint="eastAsia"/>
          <w:bCs/>
          <w:color w:val="auto"/>
          <w:szCs w:val="20"/>
          <w:highlight w:val="none"/>
        </w:rPr>
        <w:t>月</w:t>
      </w:r>
      <w:r>
        <w:rPr>
          <w:rFonts w:hint="eastAsia"/>
          <w:bCs/>
          <w:color w:val="auto"/>
          <w:szCs w:val="20"/>
          <w:highlight w:val="none"/>
          <w:lang w:val="en-US" w:eastAsia="zh-CN"/>
        </w:rPr>
        <w:t>15</w:t>
      </w:r>
      <w:r>
        <w:rPr>
          <w:rFonts w:hint="eastAsia"/>
          <w:bCs/>
          <w:color w:val="auto"/>
          <w:szCs w:val="20"/>
          <w:highlight w:val="none"/>
        </w:rPr>
        <w:t>日</w:t>
      </w:r>
      <w:r>
        <w:rPr>
          <w:rFonts w:hint="eastAsia"/>
          <w:bCs/>
          <w:color w:val="auto"/>
          <w:szCs w:val="20"/>
          <w:highlight w:val="none"/>
          <w:lang w:val="en-US" w:eastAsia="zh-CN"/>
        </w:rPr>
        <w:t>14</w:t>
      </w:r>
      <w:r>
        <w:rPr>
          <w:bCs/>
          <w:color w:val="auto"/>
          <w:szCs w:val="20"/>
          <w:highlight w:val="none"/>
        </w:rPr>
        <w:t>:</w:t>
      </w:r>
      <w:r>
        <w:rPr>
          <w:rFonts w:hint="eastAsia"/>
          <w:bCs/>
          <w:color w:val="auto"/>
          <w:szCs w:val="20"/>
          <w:highlight w:val="none"/>
          <w:lang w:val="en-US" w:eastAsia="zh-CN"/>
        </w:rPr>
        <w:t>30</w:t>
      </w:r>
      <w:r>
        <w:rPr>
          <w:rFonts w:hint="eastAsia"/>
          <w:bCs/>
          <w:color w:val="auto"/>
          <w:szCs w:val="20"/>
          <w:highlight w:val="none"/>
        </w:rPr>
        <w:t>起在上</w:t>
      </w:r>
      <w:r>
        <w:rPr>
          <w:rFonts w:hint="eastAsia"/>
          <w:bCs/>
          <w:color w:val="000000" w:themeColor="text1"/>
          <w:szCs w:val="20"/>
          <w:highlight w:val="none"/>
        </w:rPr>
        <w:t>海市</w:t>
      </w:r>
      <w:r>
        <w:rPr>
          <w:rFonts w:hint="eastAsia"/>
          <w:bCs/>
          <w:color w:val="000000" w:themeColor="text1"/>
          <w:szCs w:val="20"/>
        </w:rPr>
        <w:t>静安区西藏北路</w:t>
      </w:r>
      <w:r>
        <w:rPr>
          <w:bCs/>
          <w:color w:val="000000" w:themeColor="text1"/>
          <w:szCs w:val="20"/>
        </w:rPr>
        <w:t>485</w:t>
      </w:r>
      <w:r>
        <w:rPr>
          <w:rFonts w:hint="eastAsia"/>
          <w:bCs/>
          <w:color w:val="000000" w:themeColor="text1"/>
          <w:szCs w:val="20"/>
        </w:rPr>
        <w:t>号</w:t>
      </w:r>
      <w:r>
        <w:rPr>
          <w:bCs/>
          <w:color w:val="000000" w:themeColor="text1"/>
          <w:szCs w:val="20"/>
        </w:rPr>
        <w:t>2</w:t>
      </w:r>
      <w:r>
        <w:rPr>
          <w:rFonts w:hint="eastAsia"/>
          <w:bCs/>
          <w:color w:val="000000" w:themeColor="text1"/>
          <w:szCs w:val="20"/>
        </w:rPr>
        <w:t>号楼进行评审。</w:t>
      </w:r>
    </w:p>
    <w:p w14:paraId="4A1E1777">
      <w:pPr>
        <w:spacing w:line="500" w:lineRule="exact"/>
        <w:ind w:firstLine="482" w:firstLineChars="200"/>
        <w:rPr>
          <w:b/>
          <w:bCs/>
          <w:color w:val="000000" w:themeColor="text1"/>
          <w:szCs w:val="20"/>
        </w:rPr>
      </w:pPr>
      <w:r>
        <w:rPr>
          <w:b/>
          <w:bCs/>
          <w:color w:val="000000" w:themeColor="text1"/>
          <w:szCs w:val="20"/>
        </w:rPr>
        <w:t>8</w:t>
      </w:r>
      <w:r>
        <w:rPr>
          <w:rFonts w:hint="eastAsia"/>
          <w:b/>
          <w:bCs/>
          <w:color w:val="000000" w:themeColor="text1"/>
          <w:szCs w:val="20"/>
        </w:rPr>
        <w:t>．竞商准入基本要求：</w:t>
      </w:r>
    </w:p>
    <w:p w14:paraId="52269E8F">
      <w:pPr>
        <w:spacing w:line="500" w:lineRule="exact"/>
        <w:ind w:firstLine="480" w:firstLineChars="200"/>
        <w:rPr>
          <w:bCs/>
          <w:color w:val="000000" w:themeColor="text1"/>
          <w:szCs w:val="20"/>
        </w:rPr>
      </w:pPr>
      <w:r>
        <w:rPr>
          <w:rFonts w:hint="eastAsia"/>
          <w:bCs/>
          <w:color w:val="000000" w:themeColor="text1"/>
          <w:szCs w:val="20"/>
        </w:rPr>
        <w:t>（</w:t>
      </w:r>
      <w:r>
        <w:rPr>
          <w:bCs/>
          <w:color w:val="000000" w:themeColor="text1"/>
          <w:szCs w:val="20"/>
        </w:rPr>
        <w:t>1</w:t>
      </w:r>
      <w:r>
        <w:rPr>
          <w:rFonts w:hint="eastAsia"/>
          <w:bCs/>
          <w:color w:val="000000" w:themeColor="text1"/>
          <w:szCs w:val="20"/>
        </w:rPr>
        <w:t>）由于商家原因导致履约项目提前中止的，该商家不得参加原项目本轮招商。</w:t>
      </w:r>
    </w:p>
    <w:p w14:paraId="5C728562">
      <w:pPr>
        <w:spacing w:line="500" w:lineRule="exact"/>
        <w:ind w:firstLine="480" w:firstLineChars="200"/>
        <w:rPr>
          <w:bCs/>
          <w:color w:val="000000" w:themeColor="text1"/>
          <w:szCs w:val="20"/>
        </w:rPr>
      </w:pPr>
      <w:r>
        <w:rPr>
          <w:rFonts w:hint="eastAsia"/>
          <w:bCs/>
          <w:color w:val="000000" w:themeColor="text1"/>
          <w:szCs w:val="20"/>
        </w:rPr>
        <w:t>（</w:t>
      </w:r>
      <w:r>
        <w:rPr>
          <w:bCs/>
          <w:color w:val="000000" w:themeColor="text1"/>
          <w:szCs w:val="20"/>
        </w:rPr>
        <w:t>2</w:t>
      </w:r>
      <w:r>
        <w:rPr>
          <w:rFonts w:hint="eastAsia"/>
          <w:bCs/>
          <w:color w:val="000000" w:themeColor="text1"/>
          <w:szCs w:val="20"/>
        </w:rPr>
        <w:t>）企业营业执照在有效期内，竞商人需具有符合经营业态的经营范围。</w:t>
      </w:r>
    </w:p>
    <w:p w14:paraId="3F53B0B2">
      <w:pPr>
        <w:spacing w:line="500" w:lineRule="exact"/>
        <w:ind w:firstLine="480" w:firstLineChars="200"/>
        <w:rPr>
          <w:bCs/>
          <w:color w:val="000000" w:themeColor="text1"/>
          <w:szCs w:val="20"/>
        </w:rPr>
      </w:pPr>
      <w:r>
        <w:rPr>
          <w:rFonts w:hint="eastAsia"/>
          <w:bCs/>
          <w:color w:val="000000" w:themeColor="text1"/>
          <w:szCs w:val="20"/>
        </w:rPr>
        <w:t>（</w:t>
      </w:r>
      <w:r>
        <w:rPr>
          <w:bCs/>
          <w:color w:val="000000" w:themeColor="text1"/>
          <w:szCs w:val="20"/>
        </w:rPr>
        <w:t>3</w:t>
      </w:r>
      <w:r>
        <w:rPr>
          <w:rFonts w:hint="eastAsia"/>
          <w:bCs/>
          <w:color w:val="000000" w:themeColor="text1"/>
          <w:szCs w:val="20"/>
        </w:rPr>
        <w:t>）竞商人身份证明材料（须提供法人授权委托书原件、授权委托人身份证明、法定代表人身份证明）。</w:t>
      </w:r>
    </w:p>
    <w:p w14:paraId="2AF30ED6">
      <w:pPr>
        <w:spacing w:line="500" w:lineRule="exact"/>
        <w:ind w:firstLine="480" w:firstLineChars="200"/>
        <w:rPr>
          <w:bCs/>
          <w:color w:val="000000" w:themeColor="text1"/>
          <w:szCs w:val="20"/>
        </w:rPr>
      </w:pPr>
      <w:r>
        <w:rPr>
          <w:rFonts w:hint="eastAsia"/>
          <w:bCs/>
          <w:color w:val="000000" w:themeColor="text1"/>
          <w:szCs w:val="20"/>
        </w:rPr>
        <w:t>（</w:t>
      </w:r>
      <w:r>
        <w:rPr>
          <w:bCs/>
          <w:color w:val="000000" w:themeColor="text1"/>
          <w:szCs w:val="20"/>
        </w:rPr>
        <w:t>4</w:t>
      </w:r>
      <w:r>
        <w:rPr>
          <w:rFonts w:hint="eastAsia"/>
          <w:bCs/>
          <w:color w:val="000000" w:themeColor="text1"/>
          <w:szCs w:val="20"/>
        </w:rPr>
        <w:t>）有以下事项者不得参与竞商：招商人认为竞商人与招商人存在争议事项和未决事项；竞商期间竞商人与招商人及其下属单位存在法律纠纷及其他有争议未达成一致事项；竞商人存在拖欠招商人合同应付款项的情况（查询日期应在竞商材料递交截止日前</w:t>
      </w:r>
      <w:r>
        <w:rPr>
          <w:bCs/>
          <w:color w:val="000000" w:themeColor="text1"/>
          <w:szCs w:val="20"/>
        </w:rPr>
        <w:t>7</w:t>
      </w:r>
      <w:r>
        <w:rPr>
          <w:rFonts w:hint="eastAsia"/>
          <w:bCs/>
          <w:color w:val="000000" w:themeColor="text1"/>
          <w:szCs w:val="20"/>
        </w:rPr>
        <w:t>天内）；以往经营活动中，竞商人与招商人存在不诚信履约、尚未解决的法律纠纷或被招商人列入黑名单的情况</w:t>
      </w:r>
      <w:r>
        <w:rPr>
          <w:bCs/>
          <w:color w:val="000000" w:themeColor="text1"/>
          <w:szCs w:val="20"/>
        </w:rPr>
        <w:t>,</w:t>
      </w:r>
      <w:r>
        <w:rPr>
          <w:rFonts w:hint="eastAsia"/>
          <w:bCs/>
          <w:color w:val="000000" w:themeColor="text1"/>
          <w:szCs w:val="20"/>
        </w:rPr>
        <w:t>或在公司商业既有合作项目中两年内发生安全事故；不接受上铁文旅传媒集团</w:t>
      </w:r>
      <w:r>
        <w:rPr>
          <w:bCs/>
          <w:color w:val="000000" w:themeColor="text1"/>
          <w:szCs w:val="20"/>
        </w:rPr>
        <w:t>ERP</w:t>
      </w:r>
      <w:r>
        <w:rPr>
          <w:rFonts w:hint="eastAsia"/>
          <w:bCs/>
          <w:color w:val="000000" w:themeColor="text1"/>
          <w:szCs w:val="20"/>
        </w:rPr>
        <w:t>系统建设条件和电子商务条件等内容。</w:t>
      </w:r>
    </w:p>
    <w:p w14:paraId="1AFDFF64">
      <w:pPr>
        <w:spacing w:line="500" w:lineRule="exact"/>
        <w:ind w:firstLine="480" w:firstLineChars="200"/>
        <w:rPr>
          <w:bCs/>
          <w:color w:val="000000" w:themeColor="text1"/>
          <w:szCs w:val="20"/>
        </w:rPr>
      </w:pPr>
      <w:r>
        <w:rPr>
          <w:rFonts w:hint="eastAsia"/>
          <w:bCs/>
          <w:color w:val="000000" w:themeColor="text1"/>
          <w:szCs w:val="20"/>
        </w:rPr>
        <w:t>（</w:t>
      </w:r>
      <w:r>
        <w:rPr>
          <w:bCs/>
          <w:color w:val="000000" w:themeColor="text1"/>
          <w:szCs w:val="20"/>
        </w:rPr>
        <w:t>5</w:t>
      </w:r>
      <w:r>
        <w:rPr>
          <w:rFonts w:hint="eastAsia"/>
          <w:bCs/>
          <w:color w:val="000000" w:themeColor="text1"/>
          <w:szCs w:val="20"/>
        </w:rPr>
        <w:t>）在国家企业信用信息公示系统、信用中国网站中，列入经营异常名录和严重违法失信企业名单的不得参与竞商，竞商人需在竞商材料中提供在国家企业信用信息公示系统（</w:t>
      </w:r>
      <w:r>
        <w:rPr>
          <w:bCs/>
          <w:color w:val="000000" w:themeColor="text1"/>
          <w:szCs w:val="20"/>
        </w:rPr>
        <w:t>www.gsxt.gov.cn</w:t>
      </w:r>
      <w:r>
        <w:rPr>
          <w:rFonts w:hint="eastAsia"/>
          <w:bCs/>
          <w:color w:val="000000" w:themeColor="text1"/>
          <w:szCs w:val="20"/>
        </w:rPr>
        <w:t>）的查询结果，包括以下信息：包含“列入严重违法失信企业名单”、“列入经营异常名录信息”的查询结果（查询日期应在竞商材料递交截止日前</w:t>
      </w:r>
      <w:r>
        <w:rPr>
          <w:bCs/>
          <w:color w:val="000000" w:themeColor="text1"/>
          <w:szCs w:val="20"/>
        </w:rPr>
        <w:t>20</w:t>
      </w:r>
      <w:r>
        <w:rPr>
          <w:rFonts w:hint="eastAsia"/>
          <w:bCs/>
          <w:color w:val="000000" w:themeColor="text1"/>
          <w:szCs w:val="20"/>
        </w:rPr>
        <w:t>天内）。竞商人在竞商材料中需提供在“信用中国”网站（</w:t>
      </w:r>
      <w:r>
        <w:rPr>
          <w:bCs/>
          <w:color w:val="000000" w:themeColor="text1"/>
          <w:szCs w:val="20"/>
        </w:rPr>
        <w:t>www.creditchina.gov.cn</w:t>
      </w:r>
      <w:r>
        <w:rPr>
          <w:rFonts w:hint="eastAsia"/>
          <w:bCs/>
          <w:color w:val="000000" w:themeColor="text1"/>
          <w:szCs w:val="20"/>
        </w:rPr>
        <w:t>）下载的“信用信息报告”（查询日期应在竞商材料递交截止日前</w:t>
      </w:r>
      <w:r>
        <w:rPr>
          <w:bCs/>
          <w:color w:val="000000" w:themeColor="text1"/>
          <w:szCs w:val="20"/>
        </w:rPr>
        <w:t>20</w:t>
      </w:r>
      <w:r>
        <w:rPr>
          <w:rFonts w:hint="eastAsia"/>
          <w:bCs/>
          <w:color w:val="000000" w:themeColor="text1"/>
          <w:szCs w:val="20"/>
        </w:rPr>
        <w:t>天内）。</w:t>
      </w:r>
    </w:p>
    <w:p w14:paraId="775037A4">
      <w:pPr>
        <w:spacing w:line="500" w:lineRule="exact"/>
        <w:ind w:firstLine="480" w:firstLineChars="200"/>
        <w:rPr>
          <w:bCs/>
          <w:color w:val="000000" w:themeColor="text1"/>
          <w:szCs w:val="20"/>
        </w:rPr>
      </w:pPr>
      <w:r>
        <w:rPr>
          <w:rFonts w:hint="eastAsia"/>
          <w:bCs/>
          <w:color w:val="000000" w:themeColor="text1"/>
          <w:szCs w:val="20"/>
        </w:rPr>
        <w:t>（</w:t>
      </w:r>
      <w:r>
        <w:rPr>
          <w:bCs/>
          <w:color w:val="000000" w:themeColor="text1"/>
          <w:szCs w:val="20"/>
        </w:rPr>
        <w:t>6</w:t>
      </w:r>
      <w:r>
        <w:rPr>
          <w:rFonts w:hint="eastAsia"/>
          <w:bCs/>
          <w:color w:val="000000" w:themeColor="text1"/>
          <w:szCs w:val="20"/>
        </w:rPr>
        <w:t>）如国家企业信用信息公示系统或“信用中国”网站未纳入竞商人信息造成无法查询的，竞商人可提供在中国执行信息公开网（</w:t>
      </w:r>
      <w:r>
        <w:rPr>
          <w:bCs/>
          <w:color w:val="000000" w:themeColor="text1"/>
          <w:szCs w:val="20"/>
        </w:rPr>
        <w:t>http://zxgk.court.gov.cn/</w:t>
      </w:r>
      <w:r>
        <w:rPr>
          <w:rFonts w:hint="eastAsia"/>
          <w:bCs/>
          <w:color w:val="000000" w:themeColor="text1"/>
          <w:szCs w:val="20"/>
        </w:rPr>
        <w:t>）的查询结果（查询日期应在竞商材料递交截止日前</w:t>
      </w:r>
      <w:r>
        <w:rPr>
          <w:bCs/>
          <w:color w:val="000000" w:themeColor="text1"/>
          <w:szCs w:val="20"/>
        </w:rPr>
        <w:t>20</w:t>
      </w:r>
      <w:r>
        <w:rPr>
          <w:rFonts w:hint="eastAsia"/>
          <w:bCs/>
          <w:color w:val="000000" w:themeColor="text1"/>
          <w:szCs w:val="20"/>
        </w:rPr>
        <w:t>天内）。查询结果如列入经营异常名录、严重违法失信企业名单、存在“失信被执行人”记录、“失信惩戒”其竞商材料作无效处理。未按前述要求提供资料或提供虚假查询资料的，其竞商材料作无效处理。</w:t>
      </w:r>
    </w:p>
    <w:p w14:paraId="1B69D0E3">
      <w:pPr>
        <w:spacing w:line="500" w:lineRule="exact"/>
        <w:ind w:firstLine="480" w:firstLineChars="200"/>
        <w:rPr>
          <w:bCs/>
          <w:color w:val="000000" w:themeColor="text1"/>
          <w:szCs w:val="20"/>
        </w:rPr>
      </w:pPr>
      <w:r>
        <w:rPr>
          <w:rFonts w:hint="eastAsia"/>
          <w:bCs/>
          <w:color w:val="000000" w:themeColor="text1"/>
          <w:szCs w:val="20"/>
        </w:rPr>
        <w:t>（</w:t>
      </w:r>
      <w:r>
        <w:rPr>
          <w:bCs/>
          <w:color w:val="000000" w:themeColor="text1"/>
          <w:szCs w:val="20"/>
        </w:rPr>
        <w:t>7</w:t>
      </w:r>
      <w:r>
        <w:rPr>
          <w:rFonts w:hint="eastAsia"/>
          <w:bCs/>
          <w:color w:val="000000" w:themeColor="text1"/>
          <w:szCs w:val="20"/>
        </w:rPr>
        <w:t>）对列入国铁集团公司、上海局集团公司失信企业名单的商户不得参与竞商。已纳入</w:t>
      </w:r>
      <w:r>
        <w:rPr>
          <w:bCs/>
          <w:color w:val="000000" w:themeColor="text1"/>
          <w:szCs w:val="20"/>
        </w:rPr>
        <w:t>12</w:t>
      </w:r>
      <w:r>
        <w:rPr>
          <w:rFonts w:hint="eastAsia"/>
          <w:bCs/>
          <w:color w:val="000000" w:themeColor="text1"/>
          <w:szCs w:val="20"/>
        </w:rPr>
        <w:t>月内不得参与招商人组织招商项目和已纳入全路失信企业名单限制期内的竞商人，无本次招商项目竞商资格。对于被限制竞商人被举报并查实，变相参与竞商报名的惩罚措施：招商评审阶段发现的，取消其竞商资格</w:t>
      </w:r>
      <w:r>
        <w:rPr>
          <w:bCs/>
          <w:color w:val="000000" w:themeColor="text1"/>
          <w:szCs w:val="20"/>
        </w:rPr>
        <w:t>,</w:t>
      </w:r>
      <w:r>
        <w:rPr>
          <w:rFonts w:hint="eastAsia"/>
          <w:bCs/>
          <w:color w:val="000000" w:themeColor="text1"/>
          <w:szCs w:val="20"/>
        </w:rPr>
        <w:t>退还竞商保证金；招商结果公示阶段发现的，取消其中商资格，竞商保证金不予退回；合同签订后装修阶段发现的，解除合同，履约保证金不予退回，装修等费用由商户自行承担。</w:t>
      </w:r>
    </w:p>
    <w:p w14:paraId="255E5660">
      <w:pPr>
        <w:spacing w:line="500" w:lineRule="exact"/>
        <w:ind w:firstLine="482" w:firstLineChars="200"/>
        <w:rPr>
          <w:b/>
          <w:bCs/>
          <w:color w:val="000000" w:themeColor="text1"/>
          <w:szCs w:val="20"/>
        </w:rPr>
      </w:pPr>
      <w:r>
        <w:rPr>
          <w:b/>
          <w:bCs/>
          <w:color w:val="000000" w:themeColor="text1"/>
          <w:szCs w:val="20"/>
        </w:rPr>
        <w:t>9.</w:t>
      </w:r>
      <w:r>
        <w:rPr>
          <w:rFonts w:hint="eastAsia"/>
          <w:b/>
          <w:bCs/>
          <w:color w:val="000000" w:themeColor="text1"/>
          <w:szCs w:val="20"/>
        </w:rPr>
        <w:t>其他事项：</w:t>
      </w:r>
    </w:p>
    <w:p w14:paraId="5E7310E5">
      <w:pPr>
        <w:spacing w:line="500" w:lineRule="exact"/>
        <w:ind w:firstLine="480" w:firstLineChars="200"/>
        <w:rPr>
          <w:bCs/>
          <w:color w:val="000000" w:themeColor="text1"/>
          <w:szCs w:val="20"/>
        </w:rPr>
      </w:pPr>
      <w:r>
        <w:rPr>
          <w:bCs/>
          <w:color w:val="000000" w:themeColor="text1"/>
          <w:szCs w:val="20"/>
        </w:rPr>
        <w:t>1</w:t>
      </w:r>
      <w:r>
        <w:rPr>
          <w:rFonts w:hint="eastAsia"/>
          <w:bCs/>
          <w:color w:val="000000" w:themeColor="text1"/>
          <w:szCs w:val="20"/>
        </w:rPr>
        <w:t>．招商人将就本项目与选定的中商人签署相应《铁路经营场所租赁和服务合同》，就合作期内的合作事宜达成一致。</w:t>
      </w:r>
    </w:p>
    <w:p w14:paraId="238B100A">
      <w:pPr>
        <w:spacing w:line="500" w:lineRule="exact"/>
        <w:ind w:firstLine="480" w:firstLineChars="200"/>
        <w:rPr>
          <w:bCs/>
          <w:color w:val="000000" w:themeColor="text1"/>
          <w:szCs w:val="20"/>
        </w:rPr>
      </w:pPr>
      <w:r>
        <w:rPr>
          <w:bCs/>
          <w:color w:val="000000" w:themeColor="text1"/>
          <w:szCs w:val="20"/>
        </w:rPr>
        <w:t>2</w:t>
      </w:r>
      <w:r>
        <w:rPr>
          <w:rFonts w:hint="eastAsia"/>
          <w:bCs/>
          <w:color w:val="000000" w:themeColor="text1"/>
          <w:szCs w:val="20"/>
        </w:rPr>
        <w:t>．本项目招商底价在招商文件中公布。本项目所有包件经营合作期限均为</w:t>
      </w:r>
      <w:r>
        <w:rPr>
          <w:bCs/>
          <w:color w:val="000000" w:themeColor="text1"/>
          <w:szCs w:val="20"/>
        </w:rPr>
        <w:t>3</w:t>
      </w:r>
      <w:r>
        <w:rPr>
          <w:rFonts w:hint="eastAsia"/>
          <w:bCs/>
          <w:color w:val="000000" w:themeColor="text1"/>
          <w:szCs w:val="20"/>
        </w:rPr>
        <w:t>年（</w:t>
      </w:r>
      <w:bookmarkStart w:id="25" w:name="OLE_LINK34"/>
      <w:bookmarkStart w:id="26" w:name="OLE_LINK35"/>
      <w:r>
        <w:rPr>
          <w:rFonts w:hint="eastAsia"/>
          <w:bCs/>
          <w:color w:val="000000" w:themeColor="text1"/>
          <w:szCs w:val="20"/>
        </w:rPr>
        <w:t>既有到期商旅点位由原经营商家中商继续经营的合同起始日原则上为原合同到期次日，既有到期商旅点位由新进中商人经营的合同起始日原则上为原合同到期后</w:t>
      </w:r>
      <w:r>
        <w:rPr>
          <w:bCs/>
          <w:color w:val="000000" w:themeColor="text1"/>
          <w:szCs w:val="20"/>
        </w:rPr>
        <w:t>1</w:t>
      </w:r>
      <w:r>
        <w:rPr>
          <w:rFonts w:hint="eastAsia"/>
          <w:bCs/>
          <w:color w:val="000000" w:themeColor="text1"/>
          <w:szCs w:val="20"/>
        </w:rPr>
        <w:t>个月内</w:t>
      </w:r>
      <w:r>
        <w:rPr>
          <w:rFonts w:hint="eastAsia"/>
          <w:bCs/>
          <w:color w:val="000000" w:themeColor="text1"/>
          <w:szCs w:val="20"/>
          <w:lang w:eastAsia="zh-CN"/>
        </w:rPr>
        <w:t>）</w:t>
      </w:r>
      <w:r>
        <w:rPr>
          <w:rFonts w:hint="eastAsia"/>
          <w:bCs/>
          <w:color w:val="000000" w:themeColor="text1"/>
          <w:szCs w:val="20"/>
        </w:rPr>
        <w:t>。</w:t>
      </w:r>
      <w:bookmarkEnd w:id="25"/>
      <w:bookmarkEnd w:id="26"/>
    </w:p>
    <w:p w14:paraId="71A391F8">
      <w:pPr>
        <w:spacing w:line="500" w:lineRule="exact"/>
        <w:ind w:firstLine="480" w:firstLineChars="200"/>
        <w:rPr>
          <w:bCs/>
          <w:color w:val="000000" w:themeColor="text1"/>
          <w:szCs w:val="20"/>
        </w:rPr>
      </w:pPr>
      <w:r>
        <w:rPr>
          <w:bCs/>
          <w:color w:val="000000" w:themeColor="text1"/>
          <w:szCs w:val="20"/>
        </w:rPr>
        <w:t>3</w:t>
      </w:r>
      <w:r>
        <w:rPr>
          <w:rFonts w:hint="eastAsia"/>
          <w:bCs/>
          <w:color w:val="000000" w:themeColor="text1"/>
          <w:szCs w:val="20"/>
        </w:rPr>
        <w:t>．本项目招商人原则上不组织现场踏勘。若有需要，招商人会及时通知潜在竞商人在规定时间进行现场踏勘（费用自理）。</w:t>
      </w:r>
    </w:p>
    <w:p w14:paraId="48EFF76C">
      <w:pPr>
        <w:spacing w:line="500" w:lineRule="exact"/>
        <w:ind w:firstLine="480" w:firstLineChars="200"/>
        <w:rPr>
          <w:bCs/>
          <w:color w:val="000000" w:themeColor="text1"/>
          <w:szCs w:val="20"/>
        </w:rPr>
      </w:pPr>
      <w:r>
        <w:rPr>
          <w:bCs/>
          <w:color w:val="000000" w:themeColor="text1"/>
          <w:szCs w:val="20"/>
        </w:rPr>
        <w:t>4</w:t>
      </w:r>
      <w:r>
        <w:rPr>
          <w:rFonts w:hint="eastAsia"/>
          <w:bCs/>
          <w:color w:val="000000" w:themeColor="text1"/>
          <w:szCs w:val="20"/>
        </w:rPr>
        <w:t>．本项目具体经营活动范围仅限于在指定商业区域内开展，其他具体条款要求详见《招商文件》。</w:t>
      </w:r>
    </w:p>
    <w:p w14:paraId="45194632">
      <w:pPr>
        <w:spacing w:line="500" w:lineRule="exact"/>
        <w:ind w:firstLine="480" w:firstLineChars="200"/>
        <w:rPr>
          <w:bCs/>
          <w:color w:val="000000" w:themeColor="text1"/>
          <w:szCs w:val="20"/>
        </w:rPr>
      </w:pPr>
      <w:r>
        <w:rPr>
          <w:bCs/>
          <w:color w:val="000000" w:themeColor="text1"/>
          <w:szCs w:val="20"/>
        </w:rPr>
        <w:t>5</w:t>
      </w:r>
      <w:r>
        <w:rPr>
          <w:rFonts w:hint="eastAsia"/>
          <w:bCs/>
          <w:color w:val="000000" w:themeColor="text1"/>
          <w:szCs w:val="20"/>
        </w:rPr>
        <w:t>．若后续公告内容发生改变，请以后续补遗公告为准。</w:t>
      </w:r>
    </w:p>
    <w:p w14:paraId="1E74F7A9">
      <w:pPr>
        <w:spacing w:line="500" w:lineRule="exact"/>
        <w:ind w:firstLine="480" w:firstLineChars="200"/>
        <w:rPr>
          <w:bCs/>
          <w:color w:val="000000" w:themeColor="text1"/>
          <w:szCs w:val="20"/>
        </w:rPr>
      </w:pPr>
      <w:r>
        <w:rPr>
          <w:bCs/>
          <w:color w:val="000000" w:themeColor="text1"/>
          <w:szCs w:val="20"/>
        </w:rPr>
        <w:t>6</w:t>
      </w:r>
      <w:r>
        <w:rPr>
          <w:rFonts w:hint="eastAsia"/>
          <w:bCs/>
          <w:color w:val="000000" w:themeColor="text1"/>
          <w:szCs w:val="20"/>
        </w:rPr>
        <w:t>．本公告解释权归招商人。</w:t>
      </w:r>
    </w:p>
    <w:p w14:paraId="17A10D77">
      <w:pPr>
        <w:spacing w:line="500" w:lineRule="exact"/>
        <w:ind w:firstLine="480" w:firstLineChars="200"/>
        <w:rPr>
          <w:bCs/>
          <w:color w:val="000000" w:themeColor="text1"/>
          <w:szCs w:val="20"/>
        </w:rPr>
      </w:pPr>
      <w:r>
        <w:rPr>
          <w:bCs/>
          <w:color w:val="000000" w:themeColor="text1"/>
          <w:szCs w:val="20"/>
        </w:rPr>
        <w:t>7</w:t>
      </w:r>
      <w:r>
        <w:rPr>
          <w:rFonts w:hint="eastAsia"/>
          <w:bCs/>
          <w:color w:val="000000" w:themeColor="text1"/>
          <w:szCs w:val="20"/>
        </w:rPr>
        <w:t>．竞商人可从下述招商人处进一步咨询（工作日上午</w:t>
      </w:r>
      <w:r>
        <w:rPr>
          <w:bCs/>
          <w:color w:val="000000" w:themeColor="text1"/>
          <w:szCs w:val="20"/>
        </w:rPr>
        <w:t>8:30-11</w:t>
      </w:r>
      <w:r>
        <w:rPr>
          <w:rFonts w:hint="eastAsia"/>
          <w:bCs/>
          <w:color w:val="000000" w:themeColor="text1"/>
          <w:szCs w:val="20"/>
        </w:rPr>
        <w:t>：</w:t>
      </w:r>
      <w:r>
        <w:rPr>
          <w:bCs/>
          <w:color w:val="000000" w:themeColor="text1"/>
          <w:szCs w:val="20"/>
        </w:rPr>
        <w:t>00</w:t>
      </w:r>
      <w:r>
        <w:rPr>
          <w:rFonts w:hint="eastAsia"/>
          <w:bCs/>
          <w:color w:val="000000" w:themeColor="text1"/>
          <w:szCs w:val="20"/>
        </w:rPr>
        <w:t>，下午</w:t>
      </w:r>
      <w:r>
        <w:rPr>
          <w:bCs/>
          <w:color w:val="000000" w:themeColor="text1"/>
          <w:szCs w:val="20"/>
        </w:rPr>
        <w:t>13:30-17:00</w:t>
      </w:r>
      <w:r>
        <w:rPr>
          <w:rFonts w:hint="eastAsia"/>
          <w:bCs/>
          <w:color w:val="000000" w:themeColor="text1"/>
          <w:szCs w:val="20"/>
        </w:rPr>
        <w:t>）：</w:t>
      </w:r>
    </w:p>
    <w:p w14:paraId="46DC154C">
      <w:pPr>
        <w:spacing w:line="500" w:lineRule="exact"/>
        <w:ind w:firstLine="600" w:firstLineChars="250"/>
        <w:rPr>
          <w:bCs/>
          <w:color w:val="000000" w:themeColor="text1"/>
          <w:szCs w:val="20"/>
        </w:rPr>
      </w:pPr>
      <w:r>
        <w:rPr>
          <w:rFonts w:hint="eastAsia"/>
          <w:bCs/>
          <w:color w:val="000000" w:themeColor="text1"/>
          <w:szCs w:val="20"/>
        </w:rPr>
        <w:t>联系人：</w:t>
      </w:r>
      <w:r>
        <w:rPr>
          <w:rFonts w:hint="eastAsia"/>
          <w:bCs/>
          <w:color w:val="auto"/>
          <w:szCs w:val="20"/>
          <w:lang w:val="en-US" w:eastAsia="zh-CN"/>
        </w:rPr>
        <w:t>许女士</w:t>
      </w:r>
      <w:r>
        <w:rPr>
          <w:rFonts w:hint="eastAsia"/>
          <w:bCs/>
          <w:color w:val="000000" w:themeColor="text1"/>
          <w:szCs w:val="20"/>
        </w:rPr>
        <w:t>，电</w:t>
      </w:r>
      <w:r>
        <w:rPr>
          <w:rFonts w:hint="eastAsia"/>
          <w:bCs/>
          <w:color w:val="auto"/>
          <w:szCs w:val="20"/>
        </w:rPr>
        <w:t>话：</w:t>
      </w:r>
      <w:r>
        <w:rPr>
          <w:rFonts w:hint="eastAsia" w:ascii="Times New Roman" w:hAnsi="Times New Roman" w:eastAsia="宋体" w:cs="Times New Roman"/>
          <w:bCs/>
          <w:i w:val="0"/>
          <w:iCs w:val="0"/>
          <w:caps w:val="0"/>
          <w:color w:val="auto"/>
          <w:spacing w:val="0"/>
          <w:sz w:val="24"/>
          <w:szCs w:val="20"/>
          <w:highlight w:val="none"/>
          <w:lang w:val="en-US" w:eastAsia="zh-CN"/>
        </w:rPr>
        <w:t>021-51237696</w:t>
      </w:r>
    </w:p>
    <w:p w14:paraId="183191DE">
      <w:pPr>
        <w:spacing w:line="500" w:lineRule="exact"/>
        <w:ind w:firstLine="480" w:firstLineChars="200"/>
        <w:rPr>
          <w:bCs/>
          <w:color w:val="000000" w:themeColor="text1"/>
          <w:szCs w:val="20"/>
        </w:rPr>
      </w:pPr>
      <w:r>
        <w:rPr>
          <w:bCs/>
          <w:color w:val="000000" w:themeColor="text1"/>
          <w:szCs w:val="20"/>
        </w:rPr>
        <w:t>8</w:t>
      </w:r>
      <w:r>
        <w:rPr>
          <w:rFonts w:hint="eastAsia"/>
          <w:bCs/>
          <w:color w:val="000000" w:themeColor="text1"/>
          <w:szCs w:val="20"/>
        </w:rPr>
        <w:t>．招商公告在以下网站发布：</w:t>
      </w:r>
    </w:p>
    <w:p w14:paraId="065583D5">
      <w:pPr>
        <w:spacing w:line="500" w:lineRule="exact"/>
        <w:ind w:firstLine="600" w:firstLineChars="250"/>
        <w:rPr>
          <w:color w:val="000000" w:themeColor="text1"/>
        </w:rPr>
      </w:pPr>
      <w:r>
        <w:rPr>
          <w:rFonts w:hint="eastAsia"/>
          <w:bCs/>
          <w:color w:val="000000" w:themeColor="text1"/>
          <w:szCs w:val="20"/>
        </w:rPr>
        <w:t>国铁招商</w:t>
      </w:r>
      <w:r>
        <w:rPr>
          <w:bCs/>
          <w:color w:val="000000" w:themeColor="text1"/>
          <w:szCs w:val="20"/>
        </w:rPr>
        <w:t>(</w:t>
      </w:r>
      <w:r>
        <w:rPr>
          <w:rFonts w:hint="eastAsia"/>
          <w:bCs/>
          <w:color w:val="000000" w:themeColor="text1"/>
          <w:szCs w:val="20"/>
        </w:rPr>
        <w:t>网址：</w:t>
      </w:r>
      <w:r>
        <w:rPr>
          <w:bCs/>
          <w:color w:val="000000" w:themeColor="text1"/>
          <w:szCs w:val="20"/>
        </w:rPr>
        <w:t xml:space="preserve">https://zs.95306.cn ) </w:t>
      </w:r>
      <w:r>
        <w:rPr>
          <w:rFonts w:hint="eastAsia"/>
          <w:bCs/>
          <w:color w:val="000000" w:themeColor="text1"/>
          <w:szCs w:val="20"/>
        </w:rPr>
        <w:t>、爱上铁公众、上铁文旅传媒微信公众号</w:t>
      </w:r>
    </w:p>
    <w:p w14:paraId="02BDF0AE">
      <w:pPr>
        <w:spacing w:line="500" w:lineRule="exact"/>
        <w:ind w:firstLine="480" w:firstLineChars="200"/>
        <w:rPr>
          <w:bCs/>
          <w:color w:val="000000" w:themeColor="text1"/>
          <w:szCs w:val="20"/>
        </w:rPr>
      </w:pPr>
      <w:r>
        <w:rPr>
          <w:bCs/>
          <w:color w:val="000000" w:themeColor="text1"/>
          <w:szCs w:val="20"/>
        </w:rPr>
        <w:t>9</w:t>
      </w:r>
      <w:r>
        <w:rPr>
          <w:rFonts w:hint="eastAsia"/>
          <w:bCs/>
          <w:color w:val="000000" w:themeColor="text1"/>
          <w:szCs w:val="20"/>
        </w:rPr>
        <w:t>．监督电话：</w:t>
      </w:r>
      <w:r>
        <w:rPr>
          <w:bCs/>
          <w:color w:val="000000" w:themeColor="text1"/>
          <w:szCs w:val="20"/>
        </w:rPr>
        <w:t>021-51223530</w:t>
      </w:r>
    </w:p>
    <w:p w14:paraId="193666D0">
      <w:pPr>
        <w:rPr>
          <w:color w:val="000000" w:themeColor="text1"/>
        </w:rPr>
      </w:pPr>
    </w:p>
    <w:bookmarkEnd w:id="1445"/>
    <w:p w14:paraId="6A029586">
      <w:pPr>
        <w:pStyle w:val="63"/>
        <w:ind w:firstLine="420"/>
      </w:pPr>
    </w:p>
    <w:p w14:paraId="00CE7B6F"/>
    <w:p w14:paraId="4DDB95EA"/>
    <w:p w14:paraId="0EC04186"/>
    <w:p w14:paraId="006206C1"/>
    <w:p w14:paraId="5C5D8B5F"/>
    <w:p w14:paraId="6568E7E0">
      <w:pPr>
        <w:pStyle w:val="63"/>
      </w:pPr>
    </w:p>
    <w:p w14:paraId="4E22A024"/>
    <w:p w14:paraId="6FAFAACE"/>
    <w:p w14:paraId="5D68C75D"/>
    <w:p w14:paraId="4F0426C5">
      <w:pPr>
        <w:pStyle w:val="63"/>
        <w:ind w:firstLine="420"/>
      </w:pPr>
    </w:p>
    <w:p w14:paraId="3FFCB6BE"/>
    <w:p w14:paraId="467BC215">
      <w:pPr>
        <w:pStyle w:val="63"/>
        <w:ind w:firstLine="420"/>
      </w:pPr>
    </w:p>
    <w:p w14:paraId="7563FEB4">
      <w:pPr>
        <w:spacing w:line="360" w:lineRule="auto"/>
        <w:jc w:val="right"/>
        <w:rPr>
          <w:rFonts w:hint="default" w:eastAsia="宋体"/>
          <w:color w:val="auto"/>
          <w:lang w:val="en-US" w:eastAsia="zh-CN"/>
        </w:rPr>
      </w:pPr>
      <w:r>
        <w:rPr>
          <w:color w:val="000000" w:themeColor="text1"/>
        </w:rPr>
        <w:t>招商编</w:t>
      </w:r>
      <w:r>
        <w:rPr>
          <w:color w:val="auto"/>
        </w:rPr>
        <w:t>号：SL-</w:t>
      </w:r>
      <w:r>
        <w:rPr>
          <w:rFonts w:hint="eastAsia"/>
          <w:color w:val="auto"/>
          <w:lang w:val="en-US" w:eastAsia="zh-CN"/>
        </w:rPr>
        <w:t>2025</w:t>
      </w:r>
      <w:r>
        <w:rPr>
          <w:color w:val="auto"/>
        </w:rPr>
        <w:t>-</w:t>
      </w:r>
      <w:r>
        <w:rPr>
          <w:rFonts w:hint="eastAsia"/>
          <w:color w:val="auto"/>
          <w:lang w:val="en-US" w:eastAsia="zh-CN"/>
        </w:rPr>
        <w:t>9</w:t>
      </w:r>
      <w:r>
        <w:rPr>
          <w:color w:val="auto"/>
        </w:rPr>
        <w:t>-</w:t>
      </w:r>
      <w:r>
        <w:rPr>
          <w:rFonts w:hint="eastAsia"/>
          <w:color w:val="auto"/>
          <w:lang w:val="en-US" w:eastAsia="zh-CN"/>
        </w:rPr>
        <w:t>25</w:t>
      </w:r>
    </w:p>
    <w:p w14:paraId="204E563F">
      <w:pPr>
        <w:pStyle w:val="164"/>
        <w:spacing w:before="0" w:after="0" w:line="360" w:lineRule="auto"/>
        <w:rPr>
          <w:rFonts w:ascii="Times New Roman"/>
          <w:color w:val="000000" w:themeColor="text1"/>
        </w:rPr>
      </w:pPr>
      <w:bookmarkStart w:id="27" w:name="_Toc47512982"/>
      <w:bookmarkStart w:id="28" w:name="_Toc17473429"/>
      <w:bookmarkStart w:id="29" w:name="_Toc357806183"/>
      <w:bookmarkStart w:id="30" w:name="_Toc77318567"/>
      <w:bookmarkStart w:id="31" w:name="_Toc496098987"/>
      <w:bookmarkStart w:id="32" w:name="_Toc433187898"/>
      <w:bookmarkStart w:id="33" w:name="_Toc60191115"/>
      <w:bookmarkStart w:id="34" w:name="_Toc51494249"/>
      <w:bookmarkStart w:id="35" w:name="_Toc282703494"/>
      <w:bookmarkStart w:id="36" w:name="_Toc214341372"/>
      <w:bookmarkStart w:id="37" w:name="_Toc66355949"/>
      <w:bookmarkStart w:id="38" w:name="_Toc51493871"/>
      <w:bookmarkStart w:id="39" w:name="_Toc53100452"/>
      <w:bookmarkStart w:id="40" w:name="_Toc282418759"/>
      <w:bookmarkStart w:id="41" w:name="_Toc214175847"/>
      <w:bookmarkStart w:id="42" w:name="_Toc66355792"/>
      <w:bookmarkStart w:id="43" w:name="_Toc51493745"/>
      <w:bookmarkStart w:id="44" w:name="_Toc339464516"/>
      <w:bookmarkStart w:id="45" w:name="_Toc336244822"/>
      <w:bookmarkStart w:id="46" w:name="_Toc336241622"/>
      <w:bookmarkStart w:id="47" w:name="_Toc67311704"/>
      <w:bookmarkStart w:id="48" w:name="_Toc213155126"/>
      <w:bookmarkStart w:id="49" w:name="_Toc336238858"/>
      <w:bookmarkStart w:id="50" w:name="_Toc283376693"/>
      <w:bookmarkStart w:id="51" w:name="_Toc213516160"/>
      <w:bookmarkStart w:id="52" w:name="_Toc53100274"/>
      <w:bookmarkStart w:id="53" w:name="_Toc52961672"/>
      <w:bookmarkStart w:id="54" w:name="_Toc213155246"/>
      <w:r>
        <w:rPr>
          <w:rFonts w:ascii="Times New Roman"/>
          <w:color w:val="000000" w:themeColor="text1"/>
        </w:rPr>
        <w:t>第二章竞商人须知</w:t>
      </w:r>
      <w:bookmarkEnd w:id="27"/>
      <w:bookmarkEnd w:id="28"/>
      <w:bookmarkEnd w:id="29"/>
      <w:bookmarkEnd w:id="30"/>
      <w:bookmarkEnd w:id="31"/>
      <w:bookmarkEnd w:id="32"/>
    </w:p>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14:paraId="3841B5C0">
      <w:pPr>
        <w:pStyle w:val="126"/>
        <w:spacing w:before="0" w:after="0" w:line="360" w:lineRule="auto"/>
        <w:jc w:val="left"/>
        <w:rPr>
          <w:rFonts w:ascii="Times New Roman"/>
          <w:color w:val="000000" w:themeColor="text1"/>
        </w:rPr>
      </w:pPr>
      <w:bookmarkStart w:id="55" w:name="_Toc433369459"/>
      <w:bookmarkStart w:id="56" w:name="_Toc13533"/>
    </w:p>
    <w:p w14:paraId="15A5B386">
      <w:pPr>
        <w:pStyle w:val="126"/>
        <w:spacing w:before="0" w:after="0" w:line="360" w:lineRule="auto"/>
        <w:jc w:val="left"/>
        <w:rPr>
          <w:rFonts w:ascii="Times New Roman"/>
          <w:color w:val="000000" w:themeColor="text1"/>
        </w:rPr>
      </w:pPr>
    </w:p>
    <w:bookmarkEnd w:id="55"/>
    <w:bookmarkEnd w:id="56"/>
    <w:p w14:paraId="50307587">
      <w:pPr>
        <w:pStyle w:val="126"/>
        <w:spacing w:before="0" w:after="0" w:line="360" w:lineRule="auto"/>
        <w:ind w:firstLine="150" w:firstLineChars="50"/>
        <w:rPr>
          <w:rFonts w:ascii="Times New Roman"/>
          <w:color w:val="000000" w:themeColor="text1"/>
        </w:rPr>
      </w:pPr>
      <w:bookmarkStart w:id="57" w:name="_Toc433187897"/>
      <w:bookmarkStart w:id="58" w:name="_Toc77318566"/>
      <w:bookmarkStart w:id="59" w:name="_Toc47512981"/>
      <w:bookmarkStart w:id="60" w:name="_Toc17473428"/>
      <w:bookmarkStart w:id="61" w:name="_Toc496098986"/>
      <w:bookmarkStart w:id="62" w:name="_Toc422249672"/>
      <w:bookmarkStart w:id="63" w:name="_Toc213155227"/>
      <w:bookmarkStart w:id="64" w:name="_Toc339016031"/>
      <w:bookmarkStart w:id="65" w:name="_Toc336241621"/>
      <w:bookmarkStart w:id="66" w:name="_Toc214175846"/>
      <w:bookmarkStart w:id="67" w:name="_Toc66355948"/>
      <w:bookmarkStart w:id="68" w:name="_Toc55618832"/>
      <w:bookmarkStart w:id="69" w:name="_Toc283624756"/>
      <w:bookmarkStart w:id="70" w:name="_Toc354606542"/>
      <w:bookmarkStart w:id="71" w:name="_Toc213155125"/>
      <w:bookmarkStart w:id="72" w:name="_Toc283735870"/>
      <w:bookmarkStart w:id="73" w:name="_Toc213516138"/>
      <w:bookmarkStart w:id="74" w:name="_Toc339016093"/>
      <w:bookmarkStart w:id="75" w:name="_Toc53100273"/>
      <w:bookmarkStart w:id="76" w:name="_Toc354605410"/>
      <w:bookmarkStart w:id="77" w:name="_Toc336244821"/>
      <w:bookmarkStart w:id="78" w:name="_Toc339464515"/>
      <w:bookmarkStart w:id="79" w:name="_Toc339015945"/>
      <w:bookmarkStart w:id="80" w:name="_Toc283376814"/>
      <w:bookmarkStart w:id="81" w:name="_Toc213155245"/>
      <w:bookmarkStart w:id="82" w:name="_Toc257903060"/>
      <w:bookmarkStart w:id="83" w:name="_Toc354606453"/>
      <w:bookmarkStart w:id="84" w:name="_Toc67311703"/>
      <w:bookmarkStart w:id="85" w:name="_Toc283490365"/>
      <w:bookmarkStart w:id="86" w:name="_Toc336245422"/>
      <w:bookmarkStart w:id="87" w:name="_Toc283376692"/>
      <w:bookmarkStart w:id="88" w:name="_Toc354575252"/>
      <w:bookmarkStart w:id="89" w:name="_Toc66356056"/>
      <w:bookmarkStart w:id="90" w:name="_Toc282418758"/>
      <w:bookmarkStart w:id="91" w:name="_Toc213516159"/>
      <w:bookmarkStart w:id="92" w:name="_Toc66355791"/>
      <w:bookmarkStart w:id="93" w:name="_Toc338851112"/>
      <w:bookmarkStart w:id="94" w:name="_Toc213520724"/>
      <w:bookmarkStart w:id="95" w:name="_Toc354605311"/>
      <w:bookmarkStart w:id="96" w:name="_Toc336245462"/>
      <w:bookmarkStart w:id="97" w:name="_Toc213695664"/>
      <w:bookmarkStart w:id="98" w:name="_Toc283892533"/>
      <w:bookmarkStart w:id="99" w:name="_Toc355742150"/>
      <w:bookmarkStart w:id="100" w:name="_Toc257903150"/>
      <w:bookmarkStart w:id="101" w:name="_Toc213714597"/>
      <w:bookmarkStart w:id="102" w:name="_Toc355702864"/>
      <w:bookmarkStart w:id="103" w:name="_Toc355722028"/>
      <w:bookmarkStart w:id="104" w:name="_Toc53100451"/>
      <w:bookmarkStart w:id="105" w:name="_Toc282417422"/>
      <w:bookmarkStart w:id="106" w:name="_Toc53102108"/>
      <w:bookmarkStart w:id="107" w:name="_Toc214341371"/>
      <w:bookmarkStart w:id="108" w:name="_Toc60191114"/>
      <w:bookmarkStart w:id="109" w:name="_Toc257903036"/>
      <w:bookmarkStart w:id="110" w:name="_Toc355742627"/>
      <w:bookmarkStart w:id="111" w:name="_Toc355728765"/>
      <w:bookmarkStart w:id="112" w:name="_Toc336238857"/>
      <w:bookmarkStart w:id="113" w:name="_Toc282703493"/>
    </w:p>
    <w:p w14:paraId="1C3F3E74">
      <w:pPr>
        <w:pStyle w:val="126"/>
        <w:spacing w:before="0" w:after="0" w:line="360" w:lineRule="auto"/>
        <w:ind w:firstLine="150" w:firstLineChars="50"/>
        <w:rPr>
          <w:rFonts w:ascii="Times New Roman"/>
          <w:color w:val="000000" w:themeColor="text1"/>
        </w:rPr>
      </w:pPr>
    </w:p>
    <w:p w14:paraId="29FAEE23">
      <w:pPr>
        <w:pStyle w:val="126"/>
        <w:spacing w:before="0" w:after="0" w:line="360" w:lineRule="auto"/>
        <w:ind w:firstLine="150" w:firstLineChars="50"/>
        <w:rPr>
          <w:rFonts w:ascii="Times New Roman"/>
          <w:color w:val="000000" w:themeColor="text1"/>
        </w:rPr>
      </w:pPr>
    </w:p>
    <w:p w14:paraId="6E3AC5D4">
      <w:pPr>
        <w:pStyle w:val="126"/>
        <w:spacing w:before="0" w:after="0" w:line="360" w:lineRule="auto"/>
        <w:ind w:firstLine="150" w:firstLineChars="50"/>
        <w:rPr>
          <w:rFonts w:ascii="Times New Roman"/>
          <w:color w:val="000000" w:themeColor="text1"/>
        </w:rPr>
      </w:pPr>
    </w:p>
    <w:p w14:paraId="61AC3FC6">
      <w:pPr>
        <w:pStyle w:val="126"/>
        <w:spacing w:before="0" w:after="0" w:line="360" w:lineRule="auto"/>
        <w:ind w:firstLine="150" w:firstLineChars="50"/>
        <w:rPr>
          <w:rFonts w:ascii="Times New Roman"/>
          <w:color w:val="000000" w:themeColor="text1"/>
        </w:rPr>
      </w:pPr>
    </w:p>
    <w:p w14:paraId="224B9E47">
      <w:pPr>
        <w:pStyle w:val="126"/>
        <w:spacing w:before="0" w:after="0" w:line="360" w:lineRule="auto"/>
        <w:ind w:firstLine="150" w:firstLineChars="50"/>
        <w:rPr>
          <w:rFonts w:ascii="Times New Roman"/>
          <w:color w:val="000000" w:themeColor="text1"/>
        </w:rPr>
      </w:pPr>
    </w:p>
    <w:p w14:paraId="107BF501">
      <w:pPr>
        <w:pStyle w:val="126"/>
        <w:spacing w:before="0" w:after="0" w:line="360" w:lineRule="auto"/>
        <w:ind w:firstLine="150" w:firstLineChars="50"/>
        <w:rPr>
          <w:rFonts w:ascii="Times New Roman"/>
          <w:color w:val="000000" w:themeColor="text1"/>
        </w:rPr>
      </w:pPr>
    </w:p>
    <w:p w14:paraId="34322232">
      <w:pPr>
        <w:pStyle w:val="126"/>
        <w:spacing w:before="0" w:after="0" w:line="360" w:lineRule="auto"/>
        <w:ind w:firstLine="150" w:firstLineChars="50"/>
        <w:rPr>
          <w:rFonts w:ascii="Times New Roman"/>
          <w:color w:val="000000" w:themeColor="text1"/>
        </w:rPr>
      </w:pPr>
    </w:p>
    <w:p w14:paraId="0C1F46AD">
      <w:pPr>
        <w:pStyle w:val="126"/>
        <w:spacing w:before="0" w:after="0" w:line="360" w:lineRule="auto"/>
        <w:ind w:firstLine="150" w:firstLineChars="50"/>
        <w:rPr>
          <w:rFonts w:ascii="Times New Roman"/>
          <w:color w:val="000000" w:themeColor="text1"/>
        </w:rPr>
      </w:pPr>
    </w:p>
    <w:p w14:paraId="5965F650">
      <w:pPr>
        <w:pStyle w:val="126"/>
        <w:spacing w:before="0" w:after="0" w:line="360" w:lineRule="auto"/>
        <w:ind w:firstLine="150" w:firstLineChars="50"/>
        <w:rPr>
          <w:rFonts w:ascii="Times New Roman"/>
          <w:color w:val="000000" w:themeColor="text1"/>
        </w:rPr>
      </w:pPr>
    </w:p>
    <w:p w14:paraId="51DA04DF">
      <w:pPr>
        <w:pStyle w:val="126"/>
        <w:spacing w:before="0" w:after="0" w:line="360" w:lineRule="auto"/>
        <w:ind w:firstLine="150" w:firstLineChars="50"/>
        <w:rPr>
          <w:rFonts w:ascii="Times New Roman"/>
          <w:color w:val="000000" w:themeColor="text1"/>
        </w:rPr>
      </w:pPr>
    </w:p>
    <w:p w14:paraId="53B6AC45">
      <w:pPr>
        <w:pStyle w:val="126"/>
        <w:spacing w:before="0" w:after="0" w:line="360" w:lineRule="auto"/>
        <w:ind w:firstLine="150" w:firstLineChars="50"/>
        <w:rPr>
          <w:rFonts w:ascii="Times New Roman"/>
          <w:color w:val="000000" w:themeColor="text1"/>
        </w:rPr>
      </w:pPr>
    </w:p>
    <w:p w14:paraId="6F308DB9">
      <w:pPr>
        <w:pStyle w:val="126"/>
        <w:spacing w:before="0" w:after="0" w:line="360" w:lineRule="auto"/>
        <w:ind w:firstLine="150" w:firstLineChars="50"/>
        <w:rPr>
          <w:rFonts w:ascii="Times New Roman"/>
          <w:color w:val="000000" w:themeColor="text1"/>
        </w:rPr>
      </w:pPr>
    </w:p>
    <w:p w14:paraId="2ABFE4BD">
      <w:pPr>
        <w:pStyle w:val="126"/>
        <w:spacing w:before="0" w:after="0" w:line="360" w:lineRule="auto"/>
        <w:ind w:firstLine="150" w:firstLineChars="50"/>
        <w:rPr>
          <w:rFonts w:ascii="Times New Roman"/>
          <w:color w:val="000000" w:themeColor="text1"/>
        </w:rPr>
      </w:pPr>
    </w:p>
    <w:p w14:paraId="5BEDF38A">
      <w:pPr>
        <w:pStyle w:val="126"/>
        <w:spacing w:before="0" w:after="0" w:line="360" w:lineRule="auto"/>
        <w:ind w:firstLine="150" w:firstLineChars="50"/>
        <w:rPr>
          <w:rFonts w:ascii="Times New Roman"/>
          <w:color w:val="000000" w:themeColor="text1"/>
        </w:rPr>
      </w:pPr>
    </w:p>
    <w:p w14:paraId="6BD7A5AD">
      <w:pPr>
        <w:pStyle w:val="126"/>
        <w:spacing w:before="0" w:after="0" w:line="360" w:lineRule="auto"/>
        <w:ind w:firstLine="150" w:firstLineChars="50"/>
        <w:rPr>
          <w:rFonts w:ascii="Times New Roman"/>
          <w:color w:val="000000" w:themeColor="text1"/>
        </w:rPr>
      </w:pPr>
    </w:p>
    <w:p w14:paraId="6BB38E24">
      <w:pPr>
        <w:pStyle w:val="126"/>
        <w:spacing w:before="0" w:after="0" w:line="360" w:lineRule="auto"/>
        <w:ind w:firstLine="150" w:firstLineChars="50"/>
        <w:rPr>
          <w:rFonts w:ascii="Times New Roman"/>
          <w:color w:val="000000" w:themeColor="text1"/>
        </w:rPr>
      </w:pPr>
    </w:p>
    <w:p w14:paraId="723CBEB5">
      <w:pPr>
        <w:pStyle w:val="126"/>
        <w:spacing w:before="0" w:after="0" w:line="360" w:lineRule="auto"/>
        <w:ind w:firstLine="150" w:firstLineChars="50"/>
        <w:rPr>
          <w:rFonts w:ascii="Times New Roman"/>
          <w:color w:val="000000" w:themeColor="text1"/>
        </w:rPr>
      </w:pPr>
    </w:p>
    <w:p w14:paraId="6FEBCB40">
      <w:pPr>
        <w:pStyle w:val="126"/>
        <w:spacing w:before="0" w:after="0" w:line="360" w:lineRule="auto"/>
        <w:ind w:firstLine="150" w:firstLineChars="50"/>
        <w:rPr>
          <w:rFonts w:ascii="Times New Roman"/>
          <w:color w:val="000000" w:themeColor="text1"/>
        </w:rPr>
      </w:pPr>
    </w:p>
    <w:p w14:paraId="67403053">
      <w:pPr>
        <w:pStyle w:val="126"/>
        <w:spacing w:before="0" w:after="0" w:line="360" w:lineRule="auto"/>
        <w:ind w:firstLine="150" w:firstLineChars="50"/>
        <w:rPr>
          <w:rFonts w:ascii="Times New Roman"/>
          <w:color w:val="000000" w:themeColor="text1"/>
        </w:rPr>
      </w:pPr>
    </w:p>
    <w:p w14:paraId="5660E04A">
      <w:pPr>
        <w:pStyle w:val="126"/>
        <w:spacing w:before="0" w:after="0" w:line="360" w:lineRule="auto"/>
        <w:ind w:firstLine="150" w:firstLineChars="50"/>
        <w:rPr>
          <w:rFonts w:ascii="Times New Roman"/>
          <w:color w:val="000000" w:themeColor="text1"/>
        </w:rPr>
      </w:pPr>
    </w:p>
    <w:p w14:paraId="6578DC5C">
      <w:pPr>
        <w:pStyle w:val="126"/>
        <w:spacing w:before="0" w:after="0" w:line="360" w:lineRule="auto"/>
        <w:jc w:val="left"/>
        <w:rPr>
          <w:rFonts w:ascii="Times New Roman"/>
          <w:color w:val="000000" w:themeColor="text1"/>
        </w:rPr>
      </w:pPr>
    </w:p>
    <w:p w14:paraId="7A9E5702">
      <w:pPr>
        <w:pStyle w:val="126"/>
        <w:spacing w:before="0" w:after="0" w:line="360" w:lineRule="auto"/>
        <w:ind w:firstLine="150" w:firstLineChars="50"/>
        <w:rPr>
          <w:rFonts w:ascii="Times New Roman"/>
          <w:color w:val="000000" w:themeColor="text1"/>
        </w:rPr>
      </w:pPr>
      <w:r>
        <w:rPr>
          <w:rFonts w:ascii="Times New Roman"/>
          <w:color w:val="000000" w:themeColor="text1"/>
        </w:rPr>
        <w:t>竞商</w:t>
      </w:r>
      <w:r>
        <w:rPr>
          <w:rFonts w:hint="eastAsia" w:ascii="Times New Roman"/>
          <w:color w:val="000000" w:themeColor="text1"/>
        </w:rPr>
        <w:t>人</w:t>
      </w:r>
      <w:r>
        <w:rPr>
          <w:rFonts w:ascii="Times New Roman"/>
          <w:color w:val="000000" w:themeColor="text1"/>
        </w:rPr>
        <w:t>须知前附表</w:t>
      </w:r>
      <w:bookmarkEnd w:id="57"/>
      <w:bookmarkEnd w:id="58"/>
      <w:bookmarkEnd w:id="59"/>
      <w:bookmarkEnd w:id="60"/>
      <w:bookmarkEnd w:id="61"/>
      <w:bookmarkEnd w:id="62"/>
    </w:p>
    <w:tbl>
      <w:tblPr>
        <w:tblStyle w:val="52"/>
        <w:tblW w:w="507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1"/>
        <w:gridCol w:w="3026"/>
        <w:gridCol w:w="6072"/>
      </w:tblGrid>
      <w:tr w14:paraId="14188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tcPr>
          <w:p w14:paraId="16E151C8">
            <w:pPr>
              <w:spacing w:line="320" w:lineRule="exact"/>
              <w:jc w:val="center"/>
              <w:rPr>
                <w:color w:val="000000" w:themeColor="text1"/>
              </w:rPr>
            </w:pPr>
            <w:r>
              <w:rPr>
                <w:color w:val="000000" w:themeColor="text1"/>
              </w:rPr>
              <w:t>序号</w:t>
            </w:r>
          </w:p>
        </w:tc>
        <w:tc>
          <w:tcPr>
            <w:tcW w:w="1530" w:type="pct"/>
          </w:tcPr>
          <w:p w14:paraId="6B7F6489">
            <w:pPr>
              <w:spacing w:line="320" w:lineRule="exact"/>
              <w:jc w:val="center"/>
              <w:rPr>
                <w:color w:val="000000" w:themeColor="text1"/>
              </w:rPr>
            </w:pPr>
            <w:r>
              <w:rPr>
                <w:color w:val="000000" w:themeColor="text1"/>
              </w:rPr>
              <w:t>内容</w:t>
            </w:r>
          </w:p>
        </w:tc>
        <w:tc>
          <w:tcPr>
            <w:tcW w:w="3070" w:type="pct"/>
          </w:tcPr>
          <w:p w14:paraId="222F8D4E">
            <w:pPr>
              <w:tabs>
                <w:tab w:val="left" w:pos="2130"/>
                <w:tab w:val="center" w:pos="2928"/>
              </w:tabs>
              <w:spacing w:line="320" w:lineRule="exact"/>
              <w:rPr>
                <w:color w:val="000000" w:themeColor="text1"/>
              </w:rPr>
            </w:pPr>
            <w:r>
              <w:rPr>
                <w:color w:val="000000" w:themeColor="text1"/>
              </w:rPr>
              <w:tab/>
            </w:r>
            <w:r>
              <w:rPr>
                <w:color w:val="000000" w:themeColor="text1"/>
              </w:rPr>
              <w:tab/>
            </w:r>
            <w:r>
              <w:rPr>
                <w:color w:val="000000" w:themeColor="text1"/>
              </w:rPr>
              <w:t>说明与要求</w:t>
            </w:r>
          </w:p>
        </w:tc>
      </w:tr>
      <w:tr w14:paraId="42162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tcPr>
          <w:p w14:paraId="4479E316">
            <w:pPr>
              <w:numPr>
                <w:ilvl w:val="0"/>
                <w:numId w:val="6"/>
              </w:numPr>
              <w:spacing w:line="400" w:lineRule="exact"/>
              <w:jc w:val="center"/>
              <w:rPr>
                <w:color w:val="000000" w:themeColor="text1"/>
              </w:rPr>
            </w:pPr>
          </w:p>
        </w:tc>
        <w:tc>
          <w:tcPr>
            <w:tcW w:w="1530" w:type="pct"/>
          </w:tcPr>
          <w:p w14:paraId="40FB35D2">
            <w:pPr>
              <w:spacing w:line="400" w:lineRule="exact"/>
              <w:rPr>
                <w:color w:val="000000" w:themeColor="text1"/>
              </w:rPr>
            </w:pPr>
            <w:r>
              <w:rPr>
                <w:color w:val="000000" w:themeColor="text1"/>
              </w:rPr>
              <w:t>项目名称</w:t>
            </w:r>
          </w:p>
        </w:tc>
        <w:tc>
          <w:tcPr>
            <w:tcW w:w="3070" w:type="pct"/>
          </w:tcPr>
          <w:p w14:paraId="260AD81B">
            <w:pPr>
              <w:spacing w:line="360" w:lineRule="exact"/>
              <w:rPr>
                <w:rFonts w:hint="eastAsia" w:eastAsia="宋体"/>
                <w:color w:val="000000" w:themeColor="text1"/>
                <w:lang w:eastAsia="zh-CN"/>
              </w:rPr>
            </w:pPr>
            <w:r>
              <w:rPr>
                <w:rFonts w:hint="eastAsia" w:ascii="Times New Roman" w:hAnsi="Times New Roman" w:eastAsia="宋体" w:cs="Times New Roman"/>
                <w:b w:val="0"/>
                <w:bCs/>
                <w:color w:val="auto"/>
                <w:sz w:val="24"/>
                <w:szCs w:val="20"/>
                <w:lang w:eastAsia="zh-CN"/>
              </w:rPr>
              <w:t>合肥南</w:t>
            </w:r>
            <w:r>
              <w:rPr>
                <w:rFonts w:hint="eastAsia" w:cs="Times New Roman"/>
                <w:b w:val="0"/>
                <w:bCs/>
                <w:color w:val="auto"/>
                <w:sz w:val="24"/>
                <w:szCs w:val="20"/>
                <w:lang w:eastAsia="zh-CN"/>
              </w:rPr>
              <w:t>站商业</w:t>
            </w:r>
            <w:r>
              <w:rPr>
                <w:rFonts w:hint="eastAsia" w:cs="Times New Roman"/>
                <w:b w:val="0"/>
                <w:bCs/>
                <w:color w:val="auto"/>
                <w:sz w:val="24"/>
                <w:szCs w:val="20"/>
                <w:lang w:val="en-US" w:eastAsia="zh-CN"/>
              </w:rPr>
              <w:t>VIP厅</w:t>
            </w:r>
            <w:r>
              <w:rPr>
                <w:rFonts w:hint="eastAsia" w:ascii="Times New Roman" w:hAnsi="Times New Roman" w:eastAsia="宋体"/>
                <w:bCs/>
                <w:color w:val="auto"/>
                <w:sz w:val="24"/>
              </w:rPr>
              <w:t>项目</w:t>
            </w:r>
          </w:p>
        </w:tc>
      </w:tr>
      <w:tr w14:paraId="5BC23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tcPr>
          <w:p w14:paraId="313D1D68">
            <w:pPr>
              <w:numPr>
                <w:ilvl w:val="0"/>
                <w:numId w:val="6"/>
              </w:numPr>
              <w:spacing w:line="320" w:lineRule="exact"/>
              <w:jc w:val="center"/>
              <w:rPr>
                <w:color w:val="000000" w:themeColor="text1"/>
              </w:rPr>
            </w:pPr>
          </w:p>
        </w:tc>
        <w:tc>
          <w:tcPr>
            <w:tcW w:w="1530" w:type="pct"/>
          </w:tcPr>
          <w:p w14:paraId="278C0FC2">
            <w:pPr>
              <w:spacing w:line="360" w:lineRule="exact"/>
              <w:rPr>
                <w:color w:val="000000" w:themeColor="text1"/>
              </w:rPr>
            </w:pPr>
            <w:r>
              <w:rPr>
                <w:rFonts w:hint="eastAsia"/>
                <w:color w:val="000000" w:themeColor="text1"/>
              </w:rPr>
              <w:t>招商编号</w:t>
            </w:r>
          </w:p>
        </w:tc>
        <w:tc>
          <w:tcPr>
            <w:tcW w:w="3070" w:type="pct"/>
          </w:tcPr>
          <w:p w14:paraId="04759601">
            <w:pPr>
              <w:spacing w:line="360" w:lineRule="exact"/>
              <w:rPr>
                <w:rFonts w:hint="default" w:eastAsia="宋体"/>
                <w:color w:val="000000" w:themeColor="text1"/>
                <w:lang w:val="en-US" w:eastAsia="zh-CN"/>
              </w:rPr>
            </w:pPr>
            <w:r>
              <w:rPr>
                <w:color w:val="auto"/>
              </w:rPr>
              <w:t>SL-</w:t>
            </w:r>
            <w:r>
              <w:rPr>
                <w:rFonts w:hint="eastAsia"/>
                <w:color w:val="auto"/>
                <w:lang w:val="en-US" w:eastAsia="zh-CN"/>
              </w:rPr>
              <w:t>2025</w:t>
            </w:r>
            <w:r>
              <w:rPr>
                <w:color w:val="auto"/>
              </w:rPr>
              <w:t>-</w:t>
            </w:r>
            <w:r>
              <w:rPr>
                <w:rFonts w:hint="eastAsia"/>
                <w:color w:val="auto"/>
                <w:lang w:val="en-US" w:eastAsia="zh-CN"/>
              </w:rPr>
              <w:t>9</w:t>
            </w:r>
            <w:r>
              <w:rPr>
                <w:color w:val="auto"/>
              </w:rPr>
              <w:t>-</w:t>
            </w:r>
            <w:r>
              <w:rPr>
                <w:rFonts w:hint="eastAsia"/>
                <w:color w:val="auto"/>
                <w:lang w:val="en-US" w:eastAsia="zh-CN"/>
              </w:rPr>
              <w:t>25</w:t>
            </w:r>
          </w:p>
        </w:tc>
      </w:tr>
      <w:tr w14:paraId="1E3EE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tcPr>
          <w:p w14:paraId="6B99C6C0">
            <w:pPr>
              <w:numPr>
                <w:ilvl w:val="0"/>
                <w:numId w:val="6"/>
              </w:numPr>
              <w:spacing w:line="320" w:lineRule="exact"/>
              <w:jc w:val="center"/>
              <w:rPr>
                <w:color w:val="000000" w:themeColor="text1"/>
              </w:rPr>
            </w:pPr>
          </w:p>
        </w:tc>
        <w:tc>
          <w:tcPr>
            <w:tcW w:w="1530" w:type="pct"/>
          </w:tcPr>
          <w:p w14:paraId="48036E44">
            <w:pPr>
              <w:spacing w:line="360" w:lineRule="exact"/>
              <w:rPr>
                <w:color w:val="000000" w:themeColor="text1"/>
              </w:rPr>
            </w:pPr>
            <w:r>
              <w:rPr>
                <w:color w:val="000000" w:themeColor="text1"/>
              </w:rPr>
              <w:t>招商单位</w:t>
            </w:r>
          </w:p>
        </w:tc>
        <w:tc>
          <w:tcPr>
            <w:tcW w:w="3070" w:type="pct"/>
          </w:tcPr>
          <w:p w14:paraId="74A25FB2">
            <w:pPr>
              <w:pStyle w:val="22"/>
              <w:widowControl w:val="0"/>
              <w:adjustRightInd w:val="0"/>
              <w:snapToGrid w:val="0"/>
              <w:spacing w:line="276" w:lineRule="auto"/>
              <w:ind w:left="0" w:leftChars="0" w:right="72"/>
              <w:jc w:val="left"/>
              <w:textAlignment w:val="baseline"/>
              <w:rPr>
                <w:rFonts w:ascii="宋体" w:hAnsi="宋体" w:eastAsia="宋体"/>
                <w:bCs/>
                <w:color w:val="000000" w:themeColor="text1"/>
                <w:sz w:val="24"/>
                <w:szCs w:val="24"/>
                <w:u w:val="single"/>
              </w:rPr>
            </w:pPr>
            <w:r>
              <w:rPr>
                <w:rFonts w:ascii="宋体" w:hAnsi="宋体" w:eastAsia="宋体"/>
                <w:bCs/>
                <w:color w:val="000000" w:themeColor="text1"/>
                <w:sz w:val="24"/>
                <w:szCs w:val="24"/>
                <w:u w:val="single"/>
              </w:rPr>
              <w:t>名称：</w:t>
            </w:r>
            <w:r>
              <w:rPr>
                <w:rFonts w:hint="eastAsia" w:ascii="宋体" w:hAnsi="宋体" w:eastAsia="宋体"/>
                <w:bCs/>
                <w:color w:val="000000" w:themeColor="text1"/>
                <w:sz w:val="24"/>
                <w:szCs w:val="24"/>
                <w:u w:val="single"/>
              </w:rPr>
              <w:t>上海铁路文旅传媒集团有限公司</w:t>
            </w:r>
          </w:p>
          <w:p w14:paraId="6CBD1F65">
            <w:pPr>
              <w:pStyle w:val="22"/>
              <w:widowControl w:val="0"/>
              <w:adjustRightInd w:val="0"/>
              <w:snapToGrid w:val="0"/>
              <w:spacing w:line="276" w:lineRule="auto"/>
              <w:ind w:left="0" w:leftChars="0" w:right="72"/>
              <w:jc w:val="left"/>
              <w:textAlignment w:val="baseline"/>
              <w:rPr>
                <w:rFonts w:ascii="宋体" w:hAnsi="宋体" w:eastAsia="宋体"/>
                <w:bCs/>
                <w:color w:val="000000" w:themeColor="text1"/>
                <w:sz w:val="24"/>
                <w:szCs w:val="24"/>
                <w:u w:val="single"/>
              </w:rPr>
            </w:pPr>
            <w:r>
              <w:rPr>
                <w:rFonts w:ascii="宋体" w:hAnsi="宋体" w:eastAsia="宋体"/>
                <w:bCs/>
                <w:color w:val="000000" w:themeColor="text1"/>
                <w:sz w:val="24"/>
                <w:szCs w:val="24"/>
                <w:u w:val="single"/>
              </w:rPr>
              <w:t>地址：</w:t>
            </w:r>
            <w:r>
              <w:rPr>
                <w:rFonts w:hint="eastAsia" w:ascii="宋体" w:hAnsi="宋体" w:eastAsia="宋体"/>
                <w:bCs/>
                <w:color w:val="000000" w:themeColor="text1"/>
                <w:sz w:val="24"/>
                <w:szCs w:val="24"/>
                <w:u w:val="single"/>
              </w:rPr>
              <w:t>上海市静安区天目中路59号3楼</w:t>
            </w:r>
          </w:p>
          <w:p w14:paraId="43E184AA">
            <w:pPr>
              <w:pStyle w:val="22"/>
              <w:widowControl w:val="0"/>
              <w:adjustRightInd w:val="0"/>
              <w:snapToGrid w:val="0"/>
              <w:spacing w:line="276" w:lineRule="auto"/>
              <w:ind w:left="0" w:leftChars="0" w:right="72"/>
              <w:jc w:val="left"/>
              <w:textAlignment w:val="baseline"/>
              <w:rPr>
                <w:rFonts w:hint="eastAsia" w:ascii="宋体" w:hAnsi="宋体" w:eastAsia="宋体"/>
                <w:bCs/>
                <w:color w:val="000000" w:themeColor="text1"/>
                <w:sz w:val="24"/>
                <w:szCs w:val="24"/>
                <w:u w:val="single"/>
                <w:lang w:val="en-US" w:eastAsia="zh-CN"/>
              </w:rPr>
            </w:pPr>
            <w:r>
              <w:rPr>
                <w:rFonts w:ascii="宋体" w:hAnsi="宋体" w:eastAsia="宋体"/>
                <w:bCs/>
                <w:color w:val="000000" w:themeColor="text1"/>
                <w:sz w:val="24"/>
                <w:szCs w:val="24"/>
                <w:u w:val="single"/>
              </w:rPr>
              <w:t>联系人：</w:t>
            </w:r>
            <w:r>
              <w:rPr>
                <w:rFonts w:hint="eastAsia" w:ascii="宋体" w:hAnsi="宋体" w:eastAsia="宋体"/>
                <w:bCs/>
                <w:color w:val="000000" w:themeColor="text1"/>
                <w:sz w:val="24"/>
                <w:szCs w:val="24"/>
                <w:u w:val="single"/>
                <w:lang w:val="en-US" w:eastAsia="zh-CN"/>
              </w:rPr>
              <w:t>许女士</w:t>
            </w:r>
          </w:p>
          <w:p w14:paraId="26F6B5A8">
            <w:pPr>
              <w:pStyle w:val="22"/>
              <w:widowControl w:val="0"/>
              <w:adjustRightInd w:val="0"/>
              <w:snapToGrid w:val="0"/>
              <w:spacing w:line="276" w:lineRule="auto"/>
              <w:ind w:left="0" w:leftChars="0" w:right="72"/>
              <w:jc w:val="both"/>
              <w:textAlignment w:val="baseline"/>
              <w:rPr>
                <w:rFonts w:hint="eastAsia" w:ascii="宋体" w:hAnsi="宋体" w:eastAsia="宋体"/>
                <w:bCs/>
                <w:color w:val="000000" w:themeColor="text1"/>
                <w:sz w:val="24"/>
                <w:szCs w:val="24"/>
                <w:u w:val="single"/>
                <w:lang w:val="en-US" w:eastAsia="zh-CN"/>
              </w:rPr>
            </w:pPr>
            <w:r>
              <w:rPr>
                <w:rFonts w:hint="eastAsia" w:ascii="宋体" w:hAnsi="宋体" w:eastAsia="宋体"/>
                <w:bCs/>
                <w:color w:val="000000" w:themeColor="text1"/>
                <w:sz w:val="24"/>
                <w:szCs w:val="24"/>
                <w:u w:val="single"/>
              </w:rPr>
              <w:t>电话：</w:t>
            </w:r>
            <w:r>
              <w:rPr>
                <w:rFonts w:hint="eastAsia" w:ascii="宋体" w:hAnsi="宋体" w:eastAsia="宋体" w:cs="Times New Roman"/>
                <w:bCs/>
                <w:i w:val="0"/>
                <w:iCs w:val="0"/>
                <w:caps w:val="0"/>
                <w:color w:val="000000" w:themeColor="text1"/>
                <w:spacing w:val="0"/>
                <w:sz w:val="24"/>
                <w:szCs w:val="24"/>
                <w:highlight w:val="none"/>
                <w:u w:val="single"/>
                <w:lang w:val="en-US" w:eastAsia="zh-CN"/>
              </w:rPr>
              <w:t>021-51237696</w:t>
            </w:r>
          </w:p>
          <w:p w14:paraId="0B3AD6E0">
            <w:pPr>
              <w:pStyle w:val="22"/>
              <w:widowControl w:val="0"/>
              <w:adjustRightInd w:val="0"/>
              <w:snapToGrid w:val="0"/>
              <w:spacing w:line="276" w:lineRule="auto"/>
              <w:ind w:left="0" w:leftChars="0" w:right="72"/>
              <w:jc w:val="both"/>
              <w:textAlignment w:val="baseline"/>
              <w:rPr>
                <w:rFonts w:hint="default" w:eastAsia="宋体"/>
                <w:color w:val="000000" w:themeColor="text1"/>
                <w:lang w:val="en-US" w:eastAsia="zh-CN"/>
              </w:rPr>
            </w:pPr>
            <w:r>
              <w:rPr>
                <w:rFonts w:hint="eastAsia" w:ascii="宋体" w:hAnsi="宋体" w:eastAsia="宋体"/>
                <w:bCs/>
                <w:color w:val="000000" w:themeColor="text1"/>
                <w:sz w:val="24"/>
                <w:szCs w:val="24"/>
                <w:u w:val="single"/>
              </w:rPr>
              <w:t>Email:</w:t>
            </w:r>
            <w:r>
              <w:rPr>
                <w:rFonts w:hint="eastAsia" w:ascii="宋体" w:hAnsi="宋体" w:eastAsia="宋体"/>
                <w:bCs/>
                <w:color w:val="000000" w:themeColor="text1"/>
                <w:sz w:val="24"/>
                <w:szCs w:val="24"/>
                <w:u w:val="single"/>
                <w:lang w:val="en-US" w:eastAsia="zh-CN"/>
              </w:rPr>
              <w:t>386095855@qq.com</w:t>
            </w:r>
          </w:p>
        </w:tc>
      </w:tr>
      <w:tr w14:paraId="65F8C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tcPr>
          <w:p w14:paraId="75C4E124">
            <w:pPr>
              <w:numPr>
                <w:ilvl w:val="0"/>
                <w:numId w:val="6"/>
              </w:numPr>
              <w:spacing w:line="320" w:lineRule="exact"/>
              <w:jc w:val="center"/>
              <w:rPr>
                <w:color w:val="000000" w:themeColor="text1"/>
              </w:rPr>
            </w:pPr>
          </w:p>
        </w:tc>
        <w:tc>
          <w:tcPr>
            <w:tcW w:w="1530" w:type="pct"/>
          </w:tcPr>
          <w:p w14:paraId="4A8E3957">
            <w:pPr>
              <w:spacing w:line="360" w:lineRule="exact"/>
              <w:rPr>
                <w:color w:val="000000" w:themeColor="text1"/>
              </w:rPr>
            </w:pPr>
            <w:r>
              <w:rPr>
                <w:color w:val="000000" w:themeColor="text1"/>
              </w:rPr>
              <w:t>招商方式</w:t>
            </w:r>
          </w:p>
        </w:tc>
        <w:tc>
          <w:tcPr>
            <w:tcW w:w="3070" w:type="pct"/>
          </w:tcPr>
          <w:p w14:paraId="34D60AEF">
            <w:pPr>
              <w:spacing w:line="360" w:lineRule="exact"/>
              <w:rPr>
                <w:color w:val="000000" w:themeColor="text1"/>
              </w:rPr>
            </w:pPr>
            <w:r>
              <w:rPr>
                <w:color w:val="000000" w:themeColor="text1"/>
              </w:rPr>
              <w:t>公开招商</w:t>
            </w:r>
          </w:p>
        </w:tc>
      </w:tr>
      <w:tr w14:paraId="3C228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tcPr>
          <w:p w14:paraId="59EEF4D8">
            <w:pPr>
              <w:numPr>
                <w:ilvl w:val="0"/>
                <w:numId w:val="6"/>
              </w:numPr>
              <w:spacing w:line="320" w:lineRule="exact"/>
              <w:jc w:val="center"/>
              <w:rPr>
                <w:color w:val="000000" w:themeColor="text1"/>
              </w:rPr>
            </w:pPr>
          </w:p>
        </w:tc>
        <w:tc>
          <w:tcPr>
            <w:tcW w:w="1530" w:type="pct"/>
          </w:tcPr>
          <w:p w14:paraId="50560AFE">
            <w:pPr>
              <w:spacing w:line="360" w:lineRule="exact"/>
              <w:rPr>
                <w:color w:val="000000" w:themeColor="text1"/>
              </w:rPr>
            </w:pPr>
            <w:r>
              <w:rPr>
                <w:color w:val="000000" w:themeColor="text1"/>
              </w:rPr>
              <w:t>招商文件的获取地址</w:t>
            </w:r>
          </w:p>
        </w:tc>
        <w:tc>
          <w:tcPr>
            <w:tcW w:w="3070" w:type="pct"/>
          </w:tcPr>
          <w:p w14:paraId="199C64D7">
            <w:pPr>
              <w:spacing w:line="400" w:lineRule="exact"/>
              <w:rPr>
                <w:color w:val="000000" w:themeColor="text1"/>
              </w:rPr>
            </w:pPr>
            <w:r>
              <w:rPr>
                <w:rFonts w:hint="eastAsia" w:ascii="宋体" w:hAnsi="宋体"/>
                <w:color w:val="000000" w:themeColor="text1"/>
              </w:rPr>
              <w:t>上海市静安区天目中路59号311室</w:t>
            </w:r>
          </w:p>
        </w:tc>
      </w:tr>
      <w:tr w14:paraId="3391E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400" w:type="pct"/>
            <w:vAlign w:val="center"/>
          </w:tcPr>
          <w:p w14:paraId="00CFAEB7">
            <w:pPr>
              <w:numPr>
                <w:ilvl w:val="0"/>
                <w:numId w:val="6"/>
              </w:numPr>
              <w:spacing w:line="320" w:lineRule="exact"/>
              <w:jc w:val="center"/>
              <w:rPr>
                <w:color w:val="000000" w:themeColor="text1"/>
              </w:rPr>
            </w:pPr>
          </w:p>
        </w:tc>
        <w:tc>
          <w:tcPr>
            <w:tcW w:w="1530" w:type="pct"/>
            <w:vAlign w:val="center"/>
          </w:tcPr>
          <w:p w14:paraId="4F6D7729">
            <w:pPr>
              <w:spacing w:line="360" w:lineRule="exact"/>
              <w:rPr>
                <w:color w:val="000000" w:themeColor="text1"/>
                <w:highlight w:val="none"/>
              </w:rPr>
            </w:pPr>
            <w:r>
              <w:rPr>
                <w:rFonts w:hint="eastAsia"/>
                <w:color w:val="000000" w:themeColor="text1"/>
                <w:highlight w:val="none"/>
              </w:rPr>
              <w:t>下载</w:t>
            </w:r>
            <w:r>
              <w:rPr>
                <w:color w:val="000000" w:themeColor="text1"/>
                <w:highlight w:val="none"/>
              </w:rPr>
              <w:t>招商文件日期</w:t>
            </w:r>
          </w:p>
        </w:tc>
        <w:tc>
          <w:tcPr>
            <w:tcW w:w="3070" w:type="pct"/>
            <w:vAlign w:val="center"/>
          </w:tcPr>
          <w:p w14:paraId="2E9FFCEB">
            <w:pPr>
              <w:spacing w:line="400" w:lineRule="exact"/>
              <w:rPr>
                <w:rFonts w:ascii="宋体" w:hAnsi="宋体"/>
                <w:bCs/>
                <w:color w:val="000000" w:themeColor="text1"/>
                <w:highlight w:val="none"/>
                <w:u w:val="single"/>
              </w:rPr>
            </w:pPr>
            <w:r>
              <w:rPr>
                <w:rFonts w:hint="eastAsia" w:ascii="宋体" w:hAnsi="宋体"/>
                <w:bCs/>
                <w:color w:val="auto"/>
                <w:highlight w:val="none"/>
                <w:u w:val="single"/>
                <w:lang w:val="en-US" w:eastAsia="zh-CN"/>
              </w:rPr>
              <w:t>2025</w:t>
            </w:r>
            <w:r>
              <w:rPr>
                <w:rFonts w:ascii="宋体" w:hAnsi="宋体"/>
                <w:bCs/>
                <w:color w:val="auto"/>
                <w:highlight w:val="none"/>
                <w:u w:val="single"/>
              </w:rPr>
              <w:t>年</w:t>
            </w:r>
            <w:r>
              <w:rPr>
                <w:rFonts w:hint="eastAsia" w:ascii="宋体" w:hAnsi="宋体"/>
                <w:bCs/>
                <w:color w:val="auto"/>
                <w:highlight w:val="none"/>
                <w:u w:val="single"/>
                <w:lang w:val="en-US" w:eastAsia="zh-CN"/>
              </w:rPr>
              <w:t>9</w:t>
            </w:r>
            <w:r>
              <w:rPr>
                <w:rFonts w:hint="eastAsia" w:ascii="宋体" w:hAnsi="宋体"/>
                <w:bCs/>
                <w:color w:val="auto"/>
                <w:highlight w:val="none"/>
                <w:u w:val="single"/>
              </w:rPr>
              <w:t>月</w:t>
            </w:r>
            <w:r>
              <w:rPr>
                <w:rFonts w:hint="eastAsia" w:ascii="宋体" w:hAnsi="宋体"/>
                <w:bCs/>
                <w:color w:val="auto"/>
                <w:highlight w:val="none"/>
                <w:u w:val="single"/>
                <w:lang w:val="en-US" w:eastAsia="zh-CN"/>
              </w:rPr>
              <w:t>25</w:t>
            </w:r>
            <w:r>
              <w:rPr>
                <w:rFonts w:hint="eastAsia" w:ascii="宋体" w:hAnsi="宋体"/>
                <w:bCs/>
                <w:color w:val="auto"/>
                <w:highlight w:val="none"/>
                <w:u w:val="single"/>
              </w:rPr>
              <w:t>日</w:t>
            </w:r>
            <w:r>
              <w:rPr>
                <w:rFonts w:ascii="宋体" w:hAnsi="宋体"/>
                <w:bCs/>
                <w:color w:val="auto"/>
                <w:highlight w:val="none"/>
                <w:u w:val="single"/>
              </w:rPr>
              <w:t>至</w:t>
            </w:r>
            <w:r>
              <w:rPr>
                <w:rFonts w:hint="eastAsia" w:ascii="宋体" w:hAnsi="宋体"/>
                <w:bCs/>
                <w:color w:val="auto"/>
                <w:highlight w:val="none"/>
                <w:u w:val="single"/>
                <w:lang w:val="en-US" w:eastAsia="zh-CN"/>
              </w:rPr>
              <w:t>2025</w:t>
            </w:r>
            <w:r>
              <w:rPr>
                <w:rFonts w:ascii="宋体" w:hAnsi="宋体"/>
                <w:bCs/>
                <w:color w:val="auto"/>
                <w:highlight w:val="none"/>
                <w:u w:val="single"/>
              </w:rPr>
              <w:t>年</w:t>
            </w:r>
            <w:r>
              <w:rPr>
                <w:rFonts w:hint="eastAsia" w:ascii="宋体" w:hAnsi="宋体"/>
                <w:bCs/>
                <w:color w:val="auto"/>
                <w:highlight w:val="none"/>
                <w:u w:val="single"/>
                <w:lang w:val="en-US" w:eastAsia="zh-CN"/>
              </w:rPr>
              <w:t>10</w:t>
            </w:r>
            <w:r>
              <w:rPr>
                <w:rFonts w:hint="eastAsia" w:ascii="宋体" w:hAnsi="宋体"/>
                <w:bCs/>
                <w:color w:val="auto"/>
                <w:highlight w:val="none"/>
                <w:u w:val="single"/>
              </w:rPr>
              <w:t>月</w:t>
            </w:r>
            <w:r>
              <w:rPr>
                <w:rFonts w:hint="eastAsia" w:ascii="宋体" w:hAnsi="宋体"/>
                <w:bCs/>
                <w:color w:val="auto"/>
                <w:highlight w:val="none"/>
                <w:u w:val="single"/>
                <w:lang w:val="en-US" w:eastAsia="zh-CN"/>
              </w:rPr>
              <w:t>15</w:t>
            </w:r>
            <w:r>
              <w:rPr>
                <w:rFonts w:hint="eastAsia" w:ascii="宋体" w:hAnsi="宋体"/>
                <w:bCs/>
                <w:color w:val="auto"/>
                <w:highlight w:val="none"/>
                <w:u w:val="single"/>
              </w:rPr>
              <w:t>日</w:t>
            </w:r>
            <w:r>
              <w:rPr>
                <w:rFonts w:ascii="宋体" w:hAnsi="宋体"/>
                <w:bCs/>
                <w:color w:val="auto"/>
                <w:highlight w:val="none"/>
                <w:u w:val="single"/>
              </w:rPr>
              <w:t>期</w:t>
            </w:r>
            <w:r>
              <w:rPr>
                <w:rFonts w:ascii="宋体" w:hAnsi="宋体"/>
                <w:bCs/>
                <w:color w:val="000000" w:themeColor="text1"/>
                <w:highlight w:val="none"/>
                <w:u w:val="single"/>
              </w:rPr>
              <w:t>间</w:t>
            </w:r>
          </w:p>
        </w:tc>
      </w:tr>
      <w:tr w14:paraId="5CDD0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tcPr>
          <w:p w14:paraId="0F7AED8C">
            <w:pPr>
              <w:numPr>
                <w:ilvl w:val="0"/>
                <w:numId w:val="6"/>
              </w:numPr>
              <w:spacing w:line="320" w:lineRule="exact"/>
              <w:jc w:val="center"/>
              <w:rPr>
                <w:color w:val="000000" w:themeColor="text1"/>
              </w:rPr>
            </w:pPr>
          </w:p>
        </w:tc>
        <w:tc>
          <w:tcPr>
            <w:tcW w:w="1530" w:type="pct"/>
          </w:tcPr>
          <w:p w14:paraId="1B2C7536">
            <w:pPr>
              <w:spacing w:line="320" w:lineRule="exact"/>
              <w:rPr>
                <w:color w:val="000000" w:themeColor="text1"/>
              </w:rPr>
            </w:pPr>
            <w:r>
              <w:rPr>
                <w:rFonts w:hint="eastAsia"/>
                <w:color w:val="000000" w:themeColor="text1"/>
              </w:rPr>
              <w:t>合作期限</w:t>
            </w:r>
          </w:p>
        </w:tc>
        <w:tc>
          <w:tcPr>
            <w:tcW w:w="3070" w:type="pct"/>
          </w:tcPr>
          <w:p w14:paraId="501C39E9">
            <w:pPr>
              <w:spacing w:line="320" w:lineRule="exact"/>
              <w:rPr>
                <w:color w:val="000000" w:themeColor="text1"/>
              </w:rPr>
            </w:pPr>
            <w:r>
              <w:rPr>
                <w:rFonts w:hint="eastAsia"/>
                <w:bCs/>
                <w:color w:val="000000" w:themeColor="text1"/>
              </w:rPr>
              <w:t>3年</w:t>
            </w:r>
          </w:p>
        </w:tc>
      </w:tr>
      <w:tr w14:paraId="46FF5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tcPr>
          <w:p w14:paraId="72B9D1E3">
            <w:pPr>
              <w:numPr>
                <w:ilvl w:val="0"/>
                <w:numId w:val="6"/>
              </w:numPr>
              <w:spacing w:line="320" w:lineRule="exact"/>
              <w:jc w:val="center"/>
              <w:rPr>
                <w:color w:val="000000" w:themeColor="text1"/>
              </w:rPr>
            </w:pPr>
          </w:p>
        </w:tc>
        <w:tc>
          <w:tcPr>
            <w:tcW w:w="1530" w:type="pct"/>
          </w:tcPr>
          <w:p w14:paraId="0E381C00">
            <w:pPr>
              <w:spacing w:line="320" w:lineRule="exact"/>
              <w:rPr>
                <w:color w:val="000000" w:themeColor="text1"/>
              </w:rPr>
            </w:pPr>
            <w:r>
              <w:rPr>
                <w:rFonts w:hint="eastAsia"/>
                <w:color w:val="000000" w:themeColor="text1"/>
              </w:rPr>
              <w:t>竞商</w:t>
            </w:r>
            <w:r>
              <w:rPr>
                <w:color w:val="000000" w:themeColor="text1"/>
              </w:rPr>
              <w:t>有效期</w:t>
            </w:r>
          </w:p>
        </w:tc>
        <w:tc>
          <w:tcPr>
            <w:tcW w:w="3070" w:type="pct"/>
          </w:tcPr>
          <w:p w14:paraId="48005B77">
            <w:pPr>
              <w:spacing w:line="320" w:lineRule="exact"/>
              <w:rPr>
                <w:color w:val="000000" w:themeColor="text1"/>
              </w:rPr>
            </w:pPr>
            <w:r>
              <w:rPr>
                <w:color w:val="000000" w:themeColor="text1"/>
              </w:rPr>
              <w:t>120日历天，从</w:t>
            </w:r>
            <w:r>
              <w:rPr>
                <w:rFonts w:hint="eastAsia"/>
                <w:color w:val="000000" w:themeColor="text1"/>
              </w:rPr>
              <w:t>竞商</w:t>
            </w:r>
            <w:r>
              <w:rPr>
                <w:color w:val="000000" w:themeColor="text1"/>
              </w:rPr>
              <w:t>截止之日算起</w:t>
            </w:r>
          </w:p>
        </w:tc>
      </w:tr>
      <w:tr w14:paraId="0F011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tcPr>
          <w:p w14:paraId="0FCDEAB7">
            <w:pPr>
              <w:numPr>
                <w:ilvl w:val="0"/>
                <w:numId w:val="6"/>
              </w:numPr>
              <w:spacing w:line="320" w:lineRule="exact"/>
              <w:jc w:val="center"/>
              <w:rPr>
                <w:color w:val="000000" w:themeColor="text1"/>
              </w:rPr>
            </w:pPr>
          </w:p>
        </w:tc>
        <w:tc>
          <w:tcPr>
            <w:tcW w:w="1530" w:type="pct"/>
          </w:tcPr>
          <w:p w14:paraId="12418856">
            <w:pPr>
              <w:spacing w:line="320" w:lineRule="exact"/>
              <w:rPr>
                <w:color w:val="000000" w:themeColor="text1"/>
              </w:rPr>
            </w:pPr>
          </w:p>
          <w:p w14:paraId="445E6EB9">
            <w:pPr>
              <w:spacing w:line="320" w:lineRule="exact"/>
              <w:rPr>
                <w:color w:val="000000" w:themeColor="text1"/>
              </w:rPr>
            </w:pPr>
          </w:p>
          <w:p w14:paraId="69CC2BE9">
            <w:pPr>
              <w:spacing w:line="320" w:lineRule="exact"/>
              <w:rPr>
                <w:color w:val="000000" w:themeColor="text1"/>
              </w:rPr>
            </w:pPr>
          </w:p>
          <w:p w14:paraId="3116C8CB">
            <w:pPr>
              <w:spacing w:line="320" w:lineRule="exact"/>
              <w:rPr>
                <w:color w:val="000000" w:themeColor="text1"/>
              </w:rPr>
            </w:pPr>
          </w:p>
          <w:p w14:paraId="6DCECE16">
            <w:pPr>
              <w:spacing w:line="320" w:lineRule="exact"/>
              <w:rPr>
                <w:color w:val="000000" w:themeColor="text1"/>
              </w:rPr>
            </w:pPr>
            <w:r>
              <w:rPr>
                <w:rFonts w:hint="eastAsia"/>
                <w:color w:val="000000" w:themeColor="text1"/>
              </w:rPr>
              <w:t>竞商</w:t>
            </w:r>
            <w:r>
              <w:rPr>
                <w:color w:val="000000" w:themeColor="text1"/>
              </w:rPr>
              <w:t>保证金</w:t>
            </w:r>
          </w:p>
        </w:tc>
        <w:tc>
          <w:tcPr>
            <w:tcW w:w="3070" w:type="pct"/>
          </w:tcPr>
          <w:p w14:paraId="2195400A">
            <w:pPr>
              <w:spacing w:line="360" w:lineRule="exact"/>
              <w:rPr>
                <w:color w:val="000000" w:themeColor="text1"/>
              </w:rPr>
            </w:pPr>
            <w:r>
              <w:rPr>
                <w:rFonts w:hint="eastAsia"/>
                <w:color w:val="000000" w:themeColor="text1"/>
              </w:rPr>
              <w:t>单个包件竞商保证金人民币5万元，以转账汇款</w:t>
            </w:r>
            <w:r>
              <w:rPr>
                <w:rFonts w:hint="eastAsia"/>
                <w:bCs/>
                <w:color w:val="000000" w:themeColor="text1"/>
                <w:szCs w:val="20"/>
              </w:rPr>
              <w:t>或第三方担保</w:t>
            </w:r>
            <w:r>
              <w:rPr>
                <w:color w:val="000000" w:themeColor="text1"/>
              </w:rPr>
              <w:t>形式支付</w:t>
            </w:r>
            <w:r>
              <w:rPr>
                <w:rFonts w:hint="eastAsia"/>
                <w:color w:val="000000" w:themeColor="text1"/>
              </w:rPr>
              <w:t>。（以下两种形式任选一种，不接受银行保函、现钞交纳及支票等方式递交的投标保证金）</w:t>
            </w:r>
          </w:p>
          <w:p w14:paraId="6709A812">
            <w:pPr>
              <w:spacing w:line="360" w:lineRule="exact"/>
              <w:rPr>
                <w:color w:val="000000" w:themeColor="text1"/>
              </w:rPr>
            </w:pPr>
            <w:r>
              <w:rPr>
                <w:rFonts w:hint="eastAsia"/>
                <w:color w:val="000000" w:themeColor="text1"/>
              </w:rPr>
              <w:t>A第三方担保：竞商人以保险形式办理</w:t>
            </w:r>
          </w:p>
          <w:p w14:paraId="7CF33EBD">
            <w:pPr>
              <w:spacing w:line="360" w:lineRule="exact"/>
              <w:rPr>
                <w:color w:val="000000" w:themeColor="text1"/>
              </w:rPr>
            </w:pPr>
            <w:r>
              <w:rPr>
                <w:rFonts w:hint="eastAsia"/>
                <w:color w:val="000000" w:themeColor="text1"/>
              </w:rPr>
              <w:t>办理地址: https://shtl.jinhanwang.cn/</w:t>
            </w:r>
          </w:p>
          <w:p w14:paraId="669DC9B5">
            <w:pPr>
              <w:spacing w:line="360" w:lineRule="exact"/>
              <w:rPr>
                <w:color w:val="000000" w:themeColor="text1"/>
              </w:rPr>
            </w:pPr>
            <w:r>
              <w:rPr>
                <w:rFonts w:hint="eastAsia"/>
                <w:color w:val="000000" w:themeColor="text1"/>
              </w:rPr>
              <w:t>服务热线：</w:t>
            </w:r>
          </w:p>
          <w:p w14:paraId="4342553A">
            <w:pPr>
              <w:spacing w:line="360" w:lineRule="exact"/>
              <w:rPr>
                <w:color w:val="000000" w:themeColor="text1"/>
              </w:rPr>
            </w:pPr>
            <w:r>
              <w:rPr>
                <w:rFonts w:hint="eastAsia"/>
                <w:color w:val="000000" w:themeColor="text1"/>
              </w:rPr>
              <w:t xml:space="preserve">座机:021-52998892               </w:t>
            </w:r>
          </w:p>
          <w:p w14:paraId="5AB00A53">
            <w:pPr>
              <w:spacing w:line="360" w:lineRule="exact"/>
              <w:rPr>
                <w:color w:val="000000" w:themeColor="text1"/>
              </w:rPr>
            </w:pPr>
            <w:r>
              <w:rPr>
                <w:rFonts w:hint="eastAsia"/>
                <w:color w:val="000000" w:themeColor="text1"/>
              </w:rPr>
              <w:t>手机:17891939996</w:t>
            </w:r>
          </w:p>
          <w:p w14:paraId="6144823B">
            <w:pPr>
              <w:spacing w:line="360" w:lineRule="exact"/>
              <w:rPr>
                <w:color w:val="000000" w:themeColor="text1"/>
              </w:rPr>
            </w:pPr>
            <w:r>
              <w:rPr>
                <w:rFonts w:hint="eastAsia"/>
                <w:color w:val="000000" w:themeColor="text1"/>
              </w:rPr>
              <w:t>B.银行转账。从竞商人基本账户汇至招商单位指定的如下账户及账号。</w:t>
            </w:r>
          </w:p>
          <w:p w14:paraId="4335B5DD">
            <w:pPr>
              <w:pStyle w:val="13"/>
              <w:widowControl w:val="0"/>
              <w:pBdr>
                <w:top w:val="none" w:color="auto" w:sz="0" w:space="1"/>
                <w:left w:val="none" w:color="auto" w:sz="0" w:space="4"/>
                <w:bottom w:val="none" w:color="auto" w:sz="0" w:space="1"/>
                <w:right w:val="none" w:color="auto" w:sz="0" w:space="4"/>
              </w:pBdr>
              <w:adjustRightInd w:val="0"/>
              <w:spacing w:line="360" w:lineRule="exact"/>
              <w:ind w:firstLine="0"/>
              <w:jc w:val="both"/>
              <w:textAlignment w:val="baseline"/>
              <w:rPr>
                <w:color w:val="000000" w:themeColor="text1"/>
                <w:szCs w:val="24"/>
              </w:rPr>
            </w:pPr>
            <w:r>
              <w:rPr>
                <w:color w:val="000000" w:themeColor="text1"/>
                <w:szCs w:val="24"/>
              </w:rPr>
              <w:t>帐户名：</w:t>
            </w:r>
            <w:r>
              <w:rPr>
                <w:rFonts w:hint="eastAsia"/>
                <w:color w:val="000000" w:themeColor="text1"/>
                <w:szCs w:val="24"/>
              </w:rPr>
              <w:t>上海铁路文旅传媒集团有限公司</w:t>
            </w:r>
          </w:p>
          <w:p w14:paraId="22DF8BD3">
            <w:pPr>
              <w:pStyle w:val="13"/>
              <w:widowControl w:val="0"/>
              <w:pBdr>
                <w:top w:val="none" w:color="auto" w:sz="0" w:space="1"/>
                <w:left w:val="none" w:color="auto" w:sz="0" w:space="4"/>
                <w:bottom w:val="none" w:color="auto" w:sz="0" w:space="1"/>
                <w:right w:val="none" w:color="auto" w:sz="0" w:space="4"/>
              </w:pBdr>
              <w:adjustRightInd w:val="0"/>
              <w:spacing w:line="360" w:lineRule="exact"/>
              <w:ind w:firstLine="0"/>
              <w:jc w:val="both"/>
              <w:textAlignment w:val="baseline"/>
              <w:rPr>
                <w:color w:val="000000" w:themeColor="text1"/>
                <w:szCs w:val="24"/>
              </w:rPr>
            </w:pPr>
            <w:r>
              <w:rPr>
                <w:color w:val="000000" w:themeColor="text1"/>
                <w:szCs w:val="24"/>
              </w:rPr>
              <w:t>开户银行：</w:t>
            </w:r>
            <w:r>
              <w:rPr>
                <w:rFonts w:hint="eastAsia"/>
                <w:color w:val="000000" w:themeColor="text1"/>
                <w:szCs w:val="24"/>
              </w:rPr>
              <w:t>工行上海市天目东路支行</w:t>
            </w:r>
          </w:p>
          <w:p w14:paraId="09754730">
            <w:pPr>
              <w:pStyle w:val="13"/>
              <w:widowControl w:val="0"/>
              <w:pBdr>
                <w:top w:val="none" w:color="auto" w:sz="0" w:space="1"/>
                <w:left w:val="none" w:color="auto" w:sz="0" w:space="4"/>
                <w:bottom w:val="none" w:color="auto" w:sz="0" w:space="1"/>
                <w:right w:val="none" w:color="auto" w:sz="0" w:space="4"/>
              </w:pBdr>
              <w:adjustRightInd w:val="0"/>
              <w:spacing w:line="360" w:lineRule="exact"/>
              <w:ind w:firstLine="0"/>
              <w:jc w:val="both"/>
              <w:textAlignment w:val="baseline"/>
              <w:rPr>
                <w:color w:val="000000" w:themeColor="text1"/>
                <w:szCs w:val="24"/>
              </w:rPr>
            </w:pPr>
            <w:r>
              <w:rPr>
                <w:color w:val="000000" w:themeColor="text1"/>
                <w:szCs w:val="24"/>
              </w:rPr>
              <w:t>帐　　号：</w:t>
            </w:r>
            <w:r>
              <w:rPr>
                <w:rFonts w:hint="eastAsia"/>
                <w:color w:val="000000" w:themeColor="text1"/>
                <w:szCs w:val="24"/>
              </w:rPr>
              <w:t xml:space="preserve"> 1001215509096784647</w:t>
            </w:r>
          </w:p>
          <w:p w14:paraId="2B9B91D0">
            <w:pPr>
              <w:pStyle w:val="13"/>
              <w:widowControl w:val="0"/>
              <w:adjustRightInd w:val="0"/>
              <w:spacing w:line="360" w:lineRule="exact"/>
              <w:ind w:firstLine="0"/>
              <w:jc w:val="both"/>
              <w:textAlignment w:val="baseline"/>
              <w:rPr>
                <w:color w:val="000000" w:themeColor="text1"/>
                <w:szCs w:val="24"/>
              </w:rPr>
            </w:pPr>
            <w:r>
              <w:rPr>
                <w:rFonts w:hint="eastAsia"/>
                <w:color w:val="000000" w:themeColor="text1"/>
                <w:szCs w:val="24"/>
                <w:highlight w:val="none"/>
              </w:rPr>
              <w:t>截止时</w:t>
            </w:r>
            <w:r>
              <w:rPr>
                <w:rFonts w:hint="eastAsia"/>
                <w:color w:val="auto"/>
                <w:szCs w:val="24"/>
                <w:highlight w:val="none"/>
              </w:rPr>
              <w:t>间：</w:t>
            </w:r>
            <w:r>
              <w:rPr>
                <w:rFonts w:hint="eastAsia"/>
                <w:color w:val="auto"/>
                <w:szCs w:val="24"/>
                <w:highlight w:val="none"/>
                <w:lang w:val="en-US" w:eastAsia="zh-CN"/>
              </w:rPr>
              <w:t>2025</w:t>
            </w:r>
            <w:r>
              <w:rPr>
                <w:rFonts w:hint="eastAsia"/>
                <w:color w:val="auto"/>
                <w:szCs w:val="24"/>
                <w:highlight w:val="none"/>
              </w:rPr>
              <w:t>年</w:t>
            </w:r>
            <w:r>
              <w:rPr>
                <w:rFonts w:hint="eastAsia"/>
                <w:color w:val="auto"/>
                <w:szCs w:val="24"/>
                <w:highlight w:val="none"/>
                <w:lang w:val="en-US" w:eastAsia="zh-CN"/>
              </w:rPr>
              <w:t>10</w:t>
            </w:r>
            <w:r>
              <w:rPr>
                <w:color w:val="auto"/>
                <w:szCs w:val="24"/>
                <w:highlight w:val="none"/>
              </w:rPr>
              <w:t>月</w:t>
            </w:r>
            <w:r>
              <w:rPr>
                <w:rFonts w:hint="eastAsia"/>
                <w:color w:val="auto"/>
                <w:szCs w:val="24"/>
                <w:highlight w:val="none"/>
                <w:lang w:val="en-US" w:eastAsia="zh-CN"/>
              </w:rPr>
              <w:t>11</w:t>
            </w:r>
            <w:r>
              <w:rPr>
                <w:rFonts w:hint="eastAsia"/>
                <w:color w:val="auto"/>
                <w:szCs w:val="24"/>
                <w:highlight w:val="none"/>
              </w:rPr>
              <w:t>日</w:t>
            </w:r>
            <w:r>
              <w:rPr>
                <w:rFonts w:hint="eastAsia"/>
                <w:color w:val="auto"/>
                <w:szCs w:val="24"/>
                <w:highlight w:val="none"/>
                <w:lang w:eastAsia="zh-CN"/>
              </w:rPr>
              <w:t>下午</w:t>
            </w:r>
            <w:r>
              <w:rPr>
                <w:rFonts w:hint="eastAsia"/>
                <w:color w:val="auto"/>
                <w:szCs w:val="24"/>
                <w:highlight w:val="none"/>
                <w:lang w:val="en-US" w:eastAsia="zh-CN"/>
              </w:rPr>
              <w:t>17</w:t>
            </w:r>
            <w:r>
              <w:rPr>
                <w:rFonts w:hint="eastAsia"/>
                <w:color w:val="auto"/>
                <w:szCs w:val="24"/>
                <w:highlight w:val="none"/>
              </w:rPr>
              <w:t>:</w:t>
            </w:r>
            <w:r>
              <w:rPr>
                <w:rFonts w:hint="eastAsia"/>
                <w:color w:val="auto"/>
                <w:szCs w:val="24"/>
                <w:highlight w:val="none"/>
                <w:lang w:val="en-US" w:eastAsia="zh-CN"/>
              </w:rPr>
              <w:t>00</w:t>
            </w:r>
          </w:p>
        </w:tc>
      </w:tr>
      <w:tr w14:paraId="56312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400" w:type="pct"/>
          </w:tcPr>
          <w:p w14:paraId="63A81063">
            <w:pPr>
              <w:numPr>
                <w:ilvl w:val="0"/>
                <w:numId w:val="6"/>
              </w:numPr>
              <w:spacing w:line="320" w:lineRule="exact"/>
              <w:jc w:val="center"/>
              <w:rPr>
                <w:color w:val="000000" w:themeColor="text1"/>
              </w:rPr>
            </w:pPr>
          </w:p>
        </w:tc>
        <w:tc>
          <w:tcPr>
            <w:tcW w:w="1530" w:type="pct"/>
          </w:tcPr>
          <w:p w14:paraId="7EBB6A5D">
            <w:pPr>
              <w:spacing w:line="360" w:lineRule="exact"/>
              <w:rPr>
                <w:color w:val="000000" w:themeColor="text1"/>
              </w:rPr>
            </w:pPr>
            <w:r>
              <w:rPr>
                <w:color w:val="000000" w:themeColor="text1"/>
              </w:rPr>
              <w:t>竞商文件份数</w:t>
            </w:r>
          </w:p>
        </w:tc>
        <w:tc>
          <w:tcPr>
            <w:tcW w:w="3070" w:type="pct"/>
          </w:tcPr>
          <w:p w14:paraId="6E630710">
            <w:pPr>
              <w:spacing w:line="360" w:lineRule="exact"/>
              <w:rPr>
                <w:color w:val="000000" w:themeColor="text1"/>
              </w:rPr>
            </w:pPr>
            <w:r>
              <w:rPr>
                <w:color w:val="000000" w:themeColor="text1"/>
              </w:rPr>
              <w:t>一份正本，</w:t>
            </w:r>
            <w:r>
              <w:rPr>
                <w:rFonts w:hint="eastAsia"/>
                <w:color w:val="000000" w:themeColor="text1"/>
              </w:rPr>
              <w:t>五</w:t>
            </w:r>
            <w:r>
              <w:rPr>
                <w:color w:val="000000" w:themeColor="text1"/>
              </w:rPr>
              <w:t>份副本，电子文件</w:t>
            </w:r>
            <w:r>
              <w:rPr>
                <w:rFonts w:hint="eastAsia"/>
                <w:color w:val="000000" w:themeColor="text1"/>
              </w:rPr>
              <w:t>U</w:t>
            </w:r>
            <w:r>
              <w:rPr>
                <w:color w:val="000000" w:themeColor="text1"/>
              </w:rPr>
              <w:t>盘一份</w:t>
            </w:r>
          </w:p>
        </w:tc>
      </w:tr>
      <w:tr w14:paraId="35C6E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tcPr>
          <w:p w14:paraId="6CA95A96">
            <w:pPr>
              <w:numPr>
                <w:ilvl w:val="0"/>
                <w:numId w:val="6"/>
              </w:numPr>
              <w:spacing w:line="320" w:lineRule="exact"/>
              <w:jc w:val="center"/>
              <w:rPr>
                <w:color w:val="000000" w:themeColor="text1"/>
              </w:rPr>
            </w:pPr>
          </w:p>
        </w:tc>
        <w:tc>
          <w:tcPr>
            <w:tcW w:w="1530" w:type="pct"/>
          </w:tcPr>
          <w:p w14:paraId="5E19D675">
            <w:pPr>
              <w:spacing w:line="360" w:lineRule="exact"/>
              <w:rPr>
                <w:color w:val="000000" w:themeColor="text1"/>
              </w:rPr>
            </w:pPr>
            <w:r>
              <w:rPr>
                <w:rFonts w:hint="eastAsia"/>
                <w:color w:val="000000" w:themeColor="text1"/>
              </w:rPr>
              <w:t>竞商文件递交</w:t>
            </w:r>
            <w:r>
              <w:rPr>
                <w:color w:val="000000" w:themeColor="text1"/>
              </w:rPr>
              <w:t>截止时间</w:t>
            </w:r>
          </w:p>
        </w:tc>
        <w:tc>
          <w:tcPr>
            <w:tcW w:w="3070" w:type="pct"/>
          </w:tcPr>
          <w:p w14:paraId="04D04CA8">
            <w:pPr>
              <w:spacing w:line="360" w:lineRule="exact"/>
              <w:rPr>
                <w:color w:val="000000" w:themeColor="text1"/>
              </w:rPr>
            </w:pPr>
            <w:r>
              <w:rPr>
                <w:rFonts w:hint="eastAsia"/>
                <w:color w:val="auto"/>
                <w:highlight w:val="none"/>
                <w:lang w:val="en-US" w:eastAsia="zh-CN"/>
              </w:rPr>
              <w:t>2025</w:t>
            </w:r>
            <w:r>
              <w:rPr>
                <w:rFonts w:hint="eastAsia"/>
                <w:color w:val="auto"/>
                <w:highlight w:val="none"/>
              </w:rPr>
              <w:t>年</w:t>
            </w:r>
            <w:r>
              <w:rPr>
                <w:rFonts w:hint="eastAsia"/>
                <w:color w:val="auto"/>
                <w:highlight w:val="none"/>
                <w:lang w:val="en-US" w:eastAsia="zh-CN"/>
              </w:rPr>
              <w:t>10</w:t>
            </w:r>
            <w:r>
              <w:rPr>
                <w:color w:val="auto"/>
                <w:highlight w:val="none"/>
              </w:rPr>
              <w:t>月</w:t>
            </w:r>
            <w:r>
              <w:rPr>
                <w:rFonts w:hint="eastAsia"/>
                <w:color w:val="auto"/>
                <w:highlight w:val="none"/>
                <w:lang w:val="en-US" w:eastAsia="zh-CN"/>
              </w:rPr>
              <w:t>15</w:t>
            </w:r>
            <w:r>
              <w:rPr>
                <w:rFonts w:hint="eastAsia"/>
                <w:color w:val="auto"/>
                <w:highlight w:val="none"/>
              </w:rPr>
              <w:t>日上午</w:t>
            </w:r>
            <w:r>
              <w:rPr>
                <w:rFonts w:hint="eastAsia"/>
                <w:color w:val="auto"/>
                <w:highlight w:val="none"/>
                <w:lang w:val="en-US" w:eastAsia="zh-CN"/>
              </w:rPr>
              <w:t>14</w:t>
            </w:r>
            <w:r>
              <w:rPr>
                <w:rFonts w:hint="eastAsia"/>
                <w:color w:val="auto"/>
                <w:highlight w:val="none"/>
              </w:rPr>
              <w:t>:</w:t>
            </w:r>
            <w:r>
              <w:rPr>
                <w:rFonts w:hint="eastAsia"/>
                <w:color w:val="auto"/>
                <w:highlight w:val="none"/>
                <w:lang w:val="en-US" w:eastAsia="zh-CN"/>
              </w:rPr>
              <w:t>00</w:t>
            </w:r>
            <w:r>
              <w:rPr>
                <w:rFonts w:hint="eastAsia"/>
                <w:color w:val="auto"/>
                <w:highlight w:val="none"/>
              </w:rPr>
              <w:t>时</w:t>
            </w:r>
            <w:r>
              <w:rPr>
                <w:color w:val="auto"/>
                <w:highlight w:val="none"/>
              </w:rPr>
              <w:t>（</w:t>
            </w:r>
            <w:r>
              <w:rPr>
                <w:color w:val="000000" w:themeColor="text1"/>
                <w:highlight w:val="none"/>
              </w:rPr>
              <w:t>北京时间）</w:t>
            </w:r>
          </w:p>
        </w:tc>
      </w:tr>
      <w:tr w14:paraId="72CAE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400" w:type="pct"/>
          </w:tcPr>
          <w:p w14:paraId="7E445770">
            <w:pPr>
              <w:numPr>
                <w:ilvl w:val="0"/>
                <w:numId w:val="6"/>
              </w:numPr>
              <w:spacing w:line="360" w:lineRule="exact"/>
              <w:jc w:val="center"/>
              <w:rPr>
                <w:color w:val="000000" w:themeColor="text1"/>
              </w:rPr>
            </w:pPr>
          </w:p>
        </w:tc>
        <w:tc>
          <w:tcPr>
            <w:tcW w:w="1530" w:type="pct"/>
          </w:tcPr>
          <w:p w14:paraId="7CDB5B6E">
            <w:pPr>
              <w:spacing w:line="360" w:lineRule="exact"/>
              <w:rPr>
                <w:color w:val="000000" w:themeColor="text1"/>
              </w:rPr>
            </w:pPr>
            <w:r>
              <w:rPr>
                <w:color w:val="000000" w:themeColor="text1"/>
              </w:rPr>
              <w:t>竞商文件递交地点</w:t>
            </w:r>
          </w:p>
        </w:tc>
        <w:tc>
          <w:tcPr>
            <w:tcW w:w="3070" w:type="pct"/>
          </w:tcPr>
          <w:p w14:paraId="2D463D82">
            <w:pPr>
              <w:spacing w:line="360" w:lineRule="exact"/>
              <w:rPr>
                <w:rFonts w:hint="default" w:eastAsia="宋体"/>
                <w:color w:val="000000" w:themeColor="text1"/>
                <w:lang w:val="en-US" w:eastAsia="zh-CN"/>
              </w:rPr>
            </w:pPr>
            <w:r>
              <w:rPr>
                <w:color w:val="000000" w:themeColor="text1"/>
              </w:rPr>
              <w:t>地点：</w:t>
            </w:r>
            <w:r>
              <w:rPr>
                <w:rFonts w:hint="eastAsia"/>
                <w:color w:val="000000" w:themeColor="text1"/>
              </w:rPr>
              <w:t>上海市静安区西藏北路485号</w:t>
            </w:r>
            <w:r>
              <w:rPr>
                <w:color w:val="000000" w:themeColor="text1"/>
              </w:rPr>
              <w:t>2</w:t>
            </w:r>
            <w:r>
              <w:rPr>
                <w:rFonts w:hint="eastAsia"/>
                <w:color w:val="000000" w:themeColor="text1"/>
              </w:rPr>
              <w:t>号楼</w:t>
            </w:r>
          </w:p>
        </w:tc>
      </w:tr>
      <w:tr w14:paraId="7E3D3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00" w:type="pct"/>
          </w:tcPr>
          <w:p w14:paraId="4E9BAAEE">
            <w:pPr>
              <w:numPr>
                <w:ilvl w:val="0"/>
                <w:numId w:val="6"/>
              </w:numPr>
              <w:spacing w:line="320" w:lineRule="exact"/>
              <w:jc w:val="center"/>
              <w:rPr>
                <w:color w:val="000000" w:themeColor="text1"/>
              </w:rPr>
            </w:pPr>
          </w:p>
        </w:tc>
        <w:tc>
          <w:tcPr>
            <w:tcW w:w="1530" w:type="pct"/>
          </w:tcPr>
          <w:p w14:paraId="2DB31A36">
            <w:pPr>
              <w:spacing w:line="360" w:lineRule="exact"/>
              <w:rPr>
                <w:color w:val="000000" w:themeColor="text1"/>
              </w:rPr>
            </w:pPr>
            <w:r>
              <w:rPr>
                <w:rFonts w:hint="eastAsia"/>
                <w:color w:val="000000" w:themeColor="text1"/>
              </w:rPr>
              <w:t>评审会</w:t>
            </w:r>
          </w:p>
        </w:tc>
        <w:tc>
          <w:tcPr>
            <w:tcW w:w="3070" w:type="pct"/>
          </w:tcPr>
          <w:p w14:paraId="16DD140A">
            <w:pPr>
              <w:spacing w:line="360" w:lineRule="exact"/>
              <w:rPr>
                <w:rFonts w:hint="default" w:eastAsia="宋体"/>
                <w:color w:val="auto"/>
                <w:highlight w:val="none"/>
                <w:lang w:val="en-US" w:eastAsia="zh-CN"/>
              </w:rPr>
            </w:pPr>
            <w:r>
              <w:rPr>
                <w:rFonts w:hint="eastAsia"/>
                <w:color w:val="000000" w:themeColor="text1"/>
                <w:highlight w:val="none"/>
              </w:rPr>
              <w:t>评审会</w:t>
            </w:r>
            <w:r>
              <w:rPr>
                <w:color w:val="auto"/>
                <w:highlight w:val="none"/>
              </w:rPr>
              <w:t>时间：</w:t>
            </w:r>
            <w:r>
              <w:rPr>
                <w:rFonts w:hint="eastAsia"/>
                <w:color w:val="auto"/>
                <w:highlight w:val="none"/>
                <w:lang w:val="en-US" w:eastAsia="zh-CN"/>
              </w:rPr>
              <w:t>2025</w:t>
            </w:r>
            <w:r>
              <w:rPr>
                <w:rFonts w:hint="eastAsia"/>
                <w:color w:val="auto"/>
                <w:highlight w:val="none"/>
              </w:rPr>
              <w:t>年</w:t>
            </w:r>
            <w:r>
              <w:rPr>
                <w:rFonts w:hint="eastAsia"/>
                <w:color w:val="auto"/>
                <w:highlight w:val="none"/>
                <w:lang w:val="en-US" w:eastAsia="zh-CN"/>
              </w:rPr>
              <w:t>10</w:t>
            </w:r>
            <w:r>
              <w:rPr>
                <w:rFonts w:hint="eastAsia"/>
                <w:color w:val="auto"/>
                <w:highlight w:val="none"/>
              </w:rPr>
              <w:t>月</w:t>
            </w:r>
            <w:r>
              <w:rPr>
                <w:rFonts w:hint="eastAsia"/>
                <w:color w:val="auto"/>
                <w:highlight w:val="none"/>
                <w:lang w:val="en-US" w:eastAsia="zh-CN"/>
              </w:rPr>
              <w:t>15</w:t>
            </w:r>
            <w:r>
              <w:rPr>
                <w:rFonts w:hint="eastAsia"/>
                <w:color w:val="auto"/>
                <w:highlight w:val="none"/>
              </w:rPr>
              <w:t>日上午</w:t>
            </w:r>
            <w:r>
              <w:rPr>
                <w:rFonts w:hint="eastAsia"/>
                <w:color w:val="auto"/>
                <w:highlight w:val="none"/>
                <w:lang w:val="en-US" w:eastAsia="zh-CN"/>
              </w:rPr>
              <w:t>14</w:t>
            </w:r>
            <w:r>
              <w:rPr>
                <w:rFonts w:hint="eastAsia"/>
                <w:color w:val="auto"/>
                <w:highlight w:val="none"/>
              </w:rPr>
              <w:t>:</w:t>
            </w:r>
            <w:r>
              <w:rPr>
                <w:rFonts w:hint="eastAsia"/>
                <w:color w:val="auto"/>
                <w:highlight w:val="none"/>
                <w:lang w:val="en-US" w:eastAsia="zh-CN"/>
              </w:rPr>
              <w:t>30</w:t>
            </w:r>
          </w:p>
          <w:p w14:paraId="429D12A9">
            <w:pPr>
              <w:spacing w:line="360" w:lineRule="exact"/>
              <w:rPr>
                <w:color w:val="000000" w:themeColor="text1"/>
              </w:rPr>
            </w:pPr>
            <w:r>
              <w:rPr>
                <w:color w:val="000000" w:themeColor="text1"/>
              </w:rPr>
              <w:t>地点：</w:t>
            </w:r>
            <w:r>
              <w:rPr>
                <w:rFonts w:hint="eastAsia"/>
                <w:color w:val="000000" w:themeColor="text1"/>
              </w:rPr>
              <w:t>上海市静安区西藏北路485号</w:t>
            </w:r>
            <w:r>
              <w:rPr>
                <w:color w:val="000000" w:themeColor="text1"/>
              </w:rPr>
              <w:t>2</w:t>
            </w:r>
            <w:r>
              <w:rPr>
                <w:rFonts w:hint="eastAsia"/>
                <w:color w:val="000000" w:themeColor="text1"/>
              </w:rPr>
              <w:t>号楼</w:t>
            </w:r>
          </w:p>
        </w:tc>
      </w:tr>
      <w:tr w14:paraId="444E1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400" w:type="pct"/>
          </w:tcPr>
          <w:p w14:paraId="631E78E2">
            <w:pPr>
              <w:numPr>
                <w:ilvl w:val="0"/>
                <w:numId w:val="6"/>
              </w:numPr>
              <w:spacing w:line="320" w:lineRule="exact"/>
              <w:jc w:val="center"/>
              <w:rPr>
                <w:color w:val="000000" w:themeColor="text1"/>
              </w:rPr>
            </w:pPr>
          </w:p>
        </w:tc>
        <w:tc>
          <w:tcPr>
            <w:tcW w:w="1530" w:type="pct"/>
          </w:tcPr>
          <w:p w14:paraId="59C71018">
            <w:pPr>
              <w:spacing w:line="360" w:lineRule="exact"/>
              <w:rPr>
                <w:color w:val="000000" w:themeColor="text1"/>
              </w:rPr>
            </w:pPr>
            <w:r>
              <w:rPr>
                <w:color w:val="000000" w:themeColor="text1"/>
              </w:rPr>
              <w:t>评审方法及标准</w:t>
            </w:r>
          </w:p>
        </w:tc>
        <w:tc>
          <w:tcPr>
            <w:tcW w:w="3070" w:type="pct"/>
          </w:tcPr>
          <w:p w14:paraId="64E3E334">
            <w:pPr>
              <w:spacing w:line="360" w:lineRule="exact"/>
              <w:rPr>
                <w:color w:val="000000" w:themeColor="text1"/>
              </w:rPr>
            </w:pPr>
            <w:r>
              <w:rPr>
                <w:color w:val="000000" w:themeColor="text1"/>
              </w:rPr>
              <w:t>见招商文件第四章</w:t>
            </w:r>
          </w:p>
        </w:tc>
      </w:t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tbl>
    <w:p w14:paraId="7ADEB626">
      <w:pPr>
        <w:pStyle w:val="173"/>
        <w:spacing w:before="0" w:after="0" w:line="360" w:lineRule="auto"/>
        <w:jc w:val="left"/>
        <w:rPr>
          <w:rFonts w:ascii="Times New Roman"/>
          <w:color w:val="000000" w:themeColor="text1"/>
        </w:rPr>
      </w:pPr>
      <w:bookmarkStart w:id="114" w:name="_Toc336238859"/>
      <w:bookmarkStart w:id="115" w:name="_Toc282703495"/>
      <w:bookmarkStart w:id="116" w:name="_Toc213516161"/>
      <w:bookmarkStart w:id="117" w:name="_Toc53100453"/>
      <w:bookmarkStart w:id="118" w:name="_Toc77318568"/>
      <w:bookmarkStart w:id="119" w:name="_Toc51494250"/>
      <w:bookmarkStart w:id="120" w:name="_Toc336241623"/>
      <w:bookmarkStart w:id="121" w:name="_Toc60191116"/>
      <w:bookmarkStart w:id="122" w:name="_Toc66355950"/>
      <w:bookmarkStart w:id="123" w:name="_Toc213155127"/>
      <w:bookmarkStart w:id="124" w:name="_Toc51493872"/>
    </w:p>
    <w:p w14:paraId="0E68C050">
      <w:pPr>
        <w:pStyle w:val="173"/>
        <w:spacing w:before="0" w:after="0" w:line="360" w:lineRule="auto"/>
        <w:rPr>
          <w:rFonts w:ascii="Times New Roman"/>
          <w:color w:val="000000" w:themeColor="text1"/>
        </w:rPr>
      </w:pPr>
      <w:r>
        <w:rPr>
          <w:rFonts w:ascii="Times New Roman"/>
          <w:color w:val="000000" w:themeColor="text1"/>
        </w:rPr>
        <w:t>竞商人须知</w:t>
      </w:r>
    </w:p>
    <w:p w14:paraId="1054ACB7">
      <w:pPr>
        <w:pStyle w:val="173"/>
        <w:spacing w:before="0" w:after="0" w:line="360" w:lineRule="auto"/>
        <w:rPr>
          <w:rFonts w:ascii="Times New Roman"/>
          <w:color w:val="000000" w:themeColor="text1"/>
        </w:rPr>
      </w:pPr>
      <w:r>
        <w:rPr>
          <w:rFonts w:ascii="Times New Roman"/>
          <w:color w:val="000000" w:themeColor="text1"/>
        </w:rPr>
        <w:t>一、总则</w:t>
      </w:r>
      <w:bookmarkEnd w:id="114"/>
      <w:bookmarkEnd w:id="115"/>
      <w:bookmarkEnd w:id="116"/>
      <w:bookmarkEnd w:id="117"/>
      <w:bookmarkEnd w:id="118"/>
      <w:bookmarkEnd w:id="119"/>
      <w:bookmarkEnd w:id="120"/>
      <w:bookmarkEnd w:id="121"/>
      <w:bookmarkEnd w:id="122"/>
      <w:bookmarkEnd w:id="123"/>
      <w:bookmarkEnd w:id="124"/>
    </w:p>
    <w:p w14:paraId="2166D701">
      <w:pPr>
        <w:pStyle w:val="2"/>
        <w:spacing w:before="0" w:after="0" w:line="360" w:lineRule="auto"/>
        <w:rPr>
          <w:rFonts w:ascii="Times New Roman"/>
          <w:color w:val="000000" w:themeColor="text1"/>
        </w:rPr>
      </w:pPr>
      <w:bookmarkStart w:id="125" w:name="_Toc339016032"/>
      <w:bookmarkStart w:id="126" w:name="_Toc77318569"/>
      <w:bookmarkStart w:id="127" w:name="_Toc66355951"/>
      <w:bookmarkStart w:id="128" w:name="_Toc52930754"/>
      <w:bookmarkStart w:id="129" w:name="_Toc336238860"/>
      <w:bookmarkStart w:id="130" w:name="_Toc338851113"/>
      <w:bookmarkStart w:id="131" w:name="_Toc51493873"/>
      <w:bookmarkStart w:id="132" w:name="_Toc60191117"/>
      <w:bookmarkStart w:id="133" w:name="_Toc283376815"/>
      <w:bookmarkStart w:id="134" w:name="_Toc213516162"/>
      <w:bookmarkStart w:id="135" w:name="_Toc51494251"/>
      <w:bookmarkStart w:id="136" w:name="_Toc257903061"/>
      <w:bookmarkStart w:id="137" w:name="_Toc53100454"/>
      <w:bookmarkStart w:id="138" w:name="_Toc283624757"/>
      <w:bookmarkStart w:id="139" w:name="_Toc17067"/>
      <w:bookmarkStart w:id="140" w:name="_Toc283490366"/>
      <w:bookmarkStart w:id="141" w:name="_Toc336241624"/>
      <w:bookmarkStart w:id="142" w:name="_Toc354606454"/>
      <w:bookmarkStart w:id="143" w:name="_Toc336245463"/>
      <w:bookmarkStart w:id="144" w:name="_Toc282703496"/>
      <w:bookmarkStart w:id="145" w:name="_Toc355702865"/>
      <w:bookmarkStart w:id="146" w:name="_Toc53100376"/>
      <w:bookmarkStart w:id="147" w:name="_Toc66355882"/>
      <w:bookmarkStart w:id="148" w:name="_Toc213155128"/>
      <w:bookmarkStart w:id="149" w:name="_Toc354606543"/>
      <w:bookmarkStart w:id="150" w:name="_Toc283892534"/>
      <w:bookmarkStart w:id="151" w:name="_Toc282417423"/>
      <w:bookmarkStart w:id="152" w:name="_Toc213520725"/>
      <w:bookmarkStart w:id="153" w:name="_Toc283735871"/>
      <w:r>
        <w:rPr>
          <w:rFonts w:ascii="Times New Roman"/>
          <w:color w:val="000000" w:themeColor="text1"/>
        </w:rPr>
        <w:t>项目说明</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14:paraId="22DE3B20">
      <w:pPr>
        <w:pStyle w:val="3"/>
        <w:spacing w:line="360" w:lineRule="auto"/>
        <w:ind w:left="-240" w:leftChars="0" w:firstLineChars="0"/>
        <w:rPr>
          <w:color w:val="000000" w:themeColor="text1"/>
        </w:rPr>
      </w:pPr>
      <w:r>
        <w:rPr>
          <w:color w:val="000000" w:themeColor="text1"/>
        </w:rPr>
        <w:t>项目名称</w:t>
      </w:r>
      <w:r>
        <w:rPr>
          <w:rFonts w:hint="eastAsia"/>
          <w:color w:val="000000" w:themeColor="text1"/>
        </w:rPr>
        <w:t>:</w:t>
      </w:r>
      <w:r>
        <w:rPr>
          <w:rFonts w:hint="eastAsia" w:ascii="Times New Roman" w:hAnsi="Times New Roman" w:eastAsia="宋体" w:cs="Times New Roman"/>
          <w:b w:val="0"/>
          <w:bCs/>
          <w:color w:val="auto"/>
          <w:sz w:val="24"/>
          <w:szCs w:val="20"/>
          <w:lang w:eastAsia="zh-CN"/>
        </w:rPr>
        <w:t>合肥南</w:t>
      </w:r>
      <w:r>
        <w:rPr>
          <w:rFonts w:hint="eastAsia" w:cs="Times New Roman"/>
          <w:b w:val="0"/>
          <w:bCs/>
          <w:color w:val="auto"/>
          <w:sz w:val="24"/>
          <w:szCs w:val="20"/>
          <w:lang w:eastAsia="zh-CN"/>
        </w:rPr>
        <w:t>站商业</w:t>
      </w:r>
      <w:r>
        <w:rPr>
          <w:rFonts w:hint="eastAsia" w:cs="Times New Roman"/>
          <w:b w:val="0"/>
          <w:bCs/>
          <w:color w:val="auto"/>
          <w:sz w:val="24"/>
          <w:szCs w:val="20"/>
          <w:lang w:val="en-US" w:eastAsia="zh-CN"/>
        </w:rPr>
        <w:t>VIP厅</w:t>
      </w:r>
      <w:r>
        <w:rPr>
          <w:rFonts w:hint="eastAsia" w:ascii="Times New Roman" w:hAnsi="Times New Roman" w:eastAsia="宋体"/>
          <w:bCs/>
          <w:color w:val="auto"/>
          <w:sz w:val="24"/>
        </w:rPr>
        <w:t>项目</w:t>
      </w:r>
    </w:p>
    <w:p w14:paraId="682E678D">
      <w:pPr>
        <w:numPr>
          <w:ilvl w:val="1"/>
          <w:numId w:val="1"/>
        </w:numPr>
        <w:spacing w:line="360" w:lineRule="auto"/>
        <w:ind w:left="-240" w:leftChars="0" w:firstLineChars="0"/>
        <w:rPr>
          <w:color w:val="000000" w:themeColor="text1"/>
        </w:rPr>
      </w:pPr>
      <w:r>
        <w:rPr>
          <w:color w:val="000000" w:themeColor="text1"/>
        </w:rPr>
        <w:t>适用范围</w:t>
      </w:r>
    </w:p>
    <w:p w14:paraId="3493BB34">
      <w:pPr>
        <w:pStyle w:val="3"/>
        <w:spacing w:line="360" w:lineRule="auto"/>
        <w:ind w:left="-240" w:leftChars="0" w:firstLineChars="0"/>
        <w:rPr>
          <w:color w:val="000000" w:themeColor="text1"/>
        </w:rPr>
      </w:pPr>
      <w:r>
        <w:rPr>
          <w:color w:val="000000" w:themeColor="text1"/>
        </w:rPr>
        <w:t>本招商文件仅适用于</w:t>
      </w:r>
      <w:r>
        <w:rPr>
          <w:rFonts w:hint="eastAsia" w:ascii="Times New Roman" w:hAnsi="Times New Roman" w:eastAsia="宋体" w:cs="Times New Roman"/>
          <w:b w:val="0"/>
          <w:bCs/>
          <w:color w:val="auto"/>
          <w:sz w:val="24"/>
          <w:szCs w:val="20"/>
          <w:lang w:eastAsia="zh-CN"/>
        </w:rPr>
        <w:t>合肥南</w:t>
      </w:r>
      <w:r>
        <w:rPr>
          <w:rFonts w:hint="eastAsia" w:cs="Times New Roman"/>
          <w:b w:val="0"/>
          <w:bCs/>
          <w:color w:val="auto"/>
          <w:sz w:val="24"/>
          <w:szCs w:val="20"/>
          <w:lang w:eastAsia="zh-CN"/>
        </w:rPr>
        <w:t>站商业</w:t>
      </w:r>
      <w:r>
        <w:rPr>
          <w:rFonts w:hint="eastAsia" w:cs="Times New Roman"/>
          <w:b w:val="0"/>
          <w:bCs/>
          <w:color w:val="auto"/>
          <w:sz w:val="24"/>
          <w:szCs w:val="20"/>
          <w:lang w:val="en-US" w:eastAsia="zh-CN"/>
        </w:rPr>
        <w:t>VIP厅</w:t>
      </w:r>
      <w:r>
        <w:rPr>
          <w:rFonts w:hint="eastAsia" w:ascii="Times New Roman" w:hAnsi="Times New Roman" w:eastAsia="宋体"/>
          <w:bCs/>
          <w:color w:val="auto"/>
          <w:sz w:val="24"/>
        </w:rPr>
        <w:t>项目</w:t>
      </w:r>
      <w:r>
        <w:rPr>
          <w:color w:val="000000" w:themeColor="text1"/>
        </w:rPr>
        <w:t>（</w:t>
      </w:r>
      <w:r>
        <w:rPr>
          <w:rFonts w:hint="eastAsia"/>
          <w:color w:val="000000" w:themeColor="text1"/>
        </w:rPr>
        <w:t>招商编号</w:t>
      </w:r>
      <w:r>
        <w:rPr>
          <w:color w:val="auto"/>
        </w:rPr>
        <w:t>SL-</w:t>
      </w:r>
      <w:r>
        <w:rPr>
          <w:rFonts w:hint="eastAsia"/>
          <w:color w:val="auto"/>
          <w:lang w:val="en-US" w:eastAsia="zh-CN"/>
        </w:rPr>
        <w:t>2025</w:t>
      </w:r>
      <w:r>
        <w:rPr>
          <w:color w:val="auto"/>
        </w:rPr>
        <w:t>-</w:t>
      </w:r>
      <w:r>
        <w:rPr>
          <w:rFonts w:hint="eastAsia"/>
          <w:color w:val="auto"/>
          <w:lang w:val="en-US" w:eastAsia="zh-CN"/>
        </w:rPr>
        <w:t>9</w:t>
      </w:r>
      <w:r>
        <w:rPr>
          <w:color w:val="auto"/>
        </w:rPr>
        <w:t>-</w:t>
      </w:r>
      <w:r>
        <w:rPr>
          <w:rFonts w:hint="eastAsia"/>
          <w:color w:val="auto"/>
          <w:lang w:val="en-US" w:eastAsia="zh-CN"/>
        </w:rPr>
        <w:t>25</w:t>
      </w:r>
      <w:r>
        <w:rPr>
          <w:color w:val="000000" w:themeColor="text1"/>
        </w:rPr>
        <w:t>）。</w:t>
      </w:r>
    </w:p>
    <w:p w14:paraId="0CCBFABB">
      <w:pPr>
        <w:pStyle w:val="2"/>
        <w:spacing w:before="0" w:after="0" w:line="360" w:lineRule="auto"/>
        <w:rPr>
          <w:rFonts w:ascii="Times New Roman"/>
          <w:color w:val="000000" w:themeColor="text1"/>
        </w:rPr>
      </w:pPr>
      <w:bookmarkStart w:id="154" w:name="_Toc66355883"/>
      <w:bookmarkStart w:id="155" w:name="_Toc338851114"/>
      <w:bookmarkStart w:id="156" w:name="_Toc336241625"/>
      <w:bookmarkStart w:id="157" w:name="_Toc18430"/>
      <w:bookmarkStart w:id="158" w:name="_Toc283376816"/>
      <w:bookmarkStart w:id="159" w:name="_Toc51493874"/>
      <w:bookmarkStart w:id="160" w:name="_Toc354606544"/>
      <w:bookmarkStart w:id="161" w:name="_Toc53100455"/>
      <w:bookmarkStart w:id="162" w:name="_Toc282703497"/>
      <w:bookmarkStart w:id="163" w:name="_Toc282417424"/>
      <w:bookmarkStart w:id="164" w:name="_Toc213155129"/>
      <w:bookmarkStart w:id="165" w:name="_Toc66355952"/>
      <w:bookmarkStart w:id="166" w:name="_Toc53100377"/>
      <w:bookmarkStart w:id="167" w:name="_Toc336245464"/>
      <w:bookmarkStart w:id="168" w:name="_Toc77318570"/>
      <w:bookmarkStart w:id="169" w:name="_Toc213520726"/>
      <w:bookmarkStart w:id="170" w:name="_Toc52930755"/>
      <w:bookmarkStart w:id="171" w:name="_Toc257903062"/>
      <w:bookmarkStart w:id="172" w:name="_Toc339016033"/>
      <w:bookmarkStart w:id="173" w:name="_Toc283490367"/>
      <w:bookmarkStart w:id="174" w:name="_Toc354606455"/>
      <w:bookmarkStart w:id="175" w:name="_Toc336238861"/>
      <w:bookmarkStart w:id="176" w:name="_Toc355702866"/>
      <w:bookmarkStart w:id="177" w:name="_Toc213516163"/>
      <w:bookmarkStart w:id="178" w:name="_Toc51494252"/>
      <w:bookmarkStart w:id="179" w:name="_Toc283735872"/>
      <w:bookmarkStart w:id="180" w:name="_Toc283624758"/>
      <w:bookmarkStart w:id="181" w:name="_Toc60191118"/>
      <w:bookmarkStart w:id="182" w:name="_Toc283892535"/>
      <w:r>
        <w:rPr>
          <w:rFonts w:ascii="Times New Roman"/>
          <w:color w:val="000000" w:themeColor="text1"/>
        </w:rPr>
        <w:t>定义</w:t>
      </w:r>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5BF98381">
      <w:pPr>
        <w:numPr>
          <w:ilvl w:val="1"/>
          <w:numId w:val="1"/>
        </w:numPr>
        <w:spacing w:line="360" w:lineRule="auto"/>
        <w:ind w:left="-240" w:leftChars="0" w:firstLineChars="0"/>
        <w:rPr>
          <w:color w:val="000000" w:themeColor="text1"/>
        </w:rPr>
      </w:pPr>
      <w:r>
        <w:rPr>
          <w:color w:val="000000" w:themeColor="text1"/>
        </w:rPr>
        <w:t>“招商</w:t>
      </w:r>
      <w:r>
        <w:rPr>
          <w:rFonts w:hint="eastAsia"/>
          <w:color w:val="000000" w:themeColor="text1"/>
        </w:rPr>
        <w:t>人</w:t>
      </w:r>
      <w:r>
        <w:rPr>
          <w:color w:val="000000" w:themeColor="text1"/>
        </w:rPr>
        <w:t>”系指提出本次招商项目、进行招商的法人，本项目中特指“</w:t>
      </w:r>
      <w:r>
        <w:rPr>
          <w:rFonts w:hint="eastAsia"/>
          <w:bCs/>
          <w:color w:val="000000" w:themeColor="text1"/>
        </w:rPr>
        <w:t>上海铁路文旅传媒集团有限公司”</w:t>
      </w:r>
    </w:p>
    <w:p w14:paraId="4556B2E9">
      <w:pPr>
        <w:numPr>
          <w:ilvl w:val="1"/>
          <w:numId w:val="1"/>
        </w:numPr>
        <w:spacing w:line="360" w:lineRule="auto"/>
        <w:ind w:left="-240" w:leftChars="0" w:firstLineChars="0"/>
        <w:rPr>
          <w:color w:val="000000" w:themeColor="text1"/>
        </w:rPr>
      </w:pPr>
      <w:r>
        <w:rPr>
          <w:color w:val="000000" w:themeColor="text1"/>
        </w:rPr>
        <w:t>“竞商人”系指向招商单位提交竞商文件的实体。</w:t>
      </w:r>
    </w:p>
    <w:p w14:paraId="0AA213D1">
      <w:pPr>
        <w:pStyle w:val="2"/>
        <w:spacing w:before="0" w:after="0" w:line="360" w:lineRule="auto"/>
        <w:rPr>
          <w:rFonts w:ascii="Times New Roman"/>
          <w:color w:val="000000" w:themeColor="text1"/>
        </w:rPr>
      </w:pPr>
      <w:bookmarkStart w:id="183" w:name="_Toc336241626"/>
      <w:bookmarkStart w:id="184" w:name="_Toc355702867"/>
      <w:bookmarkStart w:id="185" w:name="_Toc283624759"/>
      <w:bookmarkStart w:id="186" w:name="_Toc213155130"/>
      <w:bookmarkStart w:id="187" w:name="_Toc53100456"/>
      <w:bookmarkStart w:id="188" w:name="_Toc354606545"/>
      <w:bookmarkStart w:id="189" w:name="_Toc526311159"/>
      <w:bookmarkStart w:id="190" w:name="_Toc526310958"/>
      <w:bookmarkStart w:id="191" w:name="_Toc282417425"/>
      <w:bookmarkStart w:id="192" w:name="_Toc213516164"/>
      <w:bookmarkStart w:id="193" w:name="_Toc354606456"/>
      <w:bookmarkStart w:id="194" w:name="_Toc339016034"/>
      <w:bookmarkStart w:id="195" w:name="_Toc66355953"/>
      <w:bookmarkStart w:id="196" w:name="_Toc213520727"/>
      <w:bookmarkStart w:id="197" w:name="_Toc283735873"/>
      <w:bookmarkStart w:id="198" w:name="_Toc282703498"/>
      <w:bookmarkStart w:id="199" w:name="_Toc336245465"/>
      <w:bookmarkStart w:id="200" w:name="_Toc283376817"/>
      <w:bookmarkStart w:id="201" w:name="_Toc336238862"/>
      <w:bookmarkStart w:id="202" w:name="_Toc53100378"/>
      <w:bookmarkStart w:id="203" w:name="_Toc51494253"/>
      <w:bookmarkStart w:id="204" w:name="_Toc526311377"/>
      <w:bookmarkStart w:id="205" w:name="_Toc66355884"/>
      <w:bookmarkStart w:id="206" w:name="_Toc257903063"/>
      <w:bookmarkStart w:id="207" w:name="_Toc52930756"/>
      <w:bookmarkStart w:id="208" w:name="_Toc283490368"/>
      <w:bookmarkStart w:id="209" w:name="_Toc338851115"/>
      <w:bookmarkStart w:id="210" w:name="_Toc60191119"/>
      <w:bookmarkStart w:id="211" w:name="_Toc526310782"/>
      <w:bookmarkStart w:id="212" w:name="_Toc51493875"/>
      <w:bookmarkStart w:id="213" w:name="_Toc283892536"/>
      <w:bookmarkStart w:id="214" w:name="_Toc77318571"/>
      <w:bookmarkStart w:id="215" w:name="_Toc17152"/>
      <w:r>
        <w:rPr>
          <w:rFonts w:ascii="Times New Roman"/>
          <w:color w:val="000000" w:themeColor="text1"/>
        </w:rPr>
        <w:t>合格</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Pr>
          <w:rFonts w:ascii="Times New Roman"/>
          <w:color w:val="000000" w:themeColor="text1"/>
        </w:rPr>
        <w:t>竞商人</w:t>
      </w:r>
      <w:bookmarkEnd w:id="214"/>
      <w:bookmarkEnd w:id="215"/>
    </w:p>
    <w:p w14:paraId="3E14A03C">
      <w:pPr>
        <w:spacing w:line="500" w:lineRule="exact"/>
        <w:ind w:firstLine="480" w:firstLineChars="200"/>
        <w:rPr>
          <w:color w:val="000000" w:themeColor="text1"/>
        </w:rPr>
      </w:pPr>
      <w:bookmarkStart w:id="216" w:name="_Ref452637774"/>
      <w:r>
        <w:rPr>
          <w:color w:val="000000" w:themeColor="text1"/>
        </w:rPr>
        <w:t>合格竞商人须满足招商公告中对合格竞商人的资格要求</w:t>
      </w:r>
      <w:r>
        <w:rPr>
          <w:rFonts w:hint="eastAsia"/>
          <w:color w:val="000000" w:themeColor="text1"/>
        </w:rPr>
        <w:t>及下列要求</w:t>
      </w:r>
      <w:r>
        <w:rPr>
          <w:color w:val="000000" w:themeColor="text1"/>
        </w:rPr>
        <w:t>。</w:t>
      </w:r>
    </w:p>
    <w:p w14:paraId="2E26B2A8">
      <w:pPr>
        <w:spacing w:line="500" w:lineRule="exact"/>
        <w:ind w:firstLine="480" w:firstLineChars="200"/>
        <w:rPr>
          <w:bCs/>
          <w:color w:val="000000" w:themeColor="text1"/>
          <w:szCs w:val="20"/>
        </w:rPr>
      </w:pPr>
      <w:r>
        <w:rPr>
          <w:rFonts w:hint="eastAsia"/>
          <w:bCs/>
          <w:color w:val="000000" w:themeColor="text1"/>
          <w:szCs w:val="20"/>
        </w:rPr>
        <w:t>（1）接受招商人提供的招商文件和合同范本，合同履行过程中须接受招商人按规定开出的相应票据（一般纳税人开具增值税专用发票或增值税普通发票、小规模纳税人开具增值税普通发票）；接受招商人制定的评审办法和评审细则。</w:t>
      </w:r>
    </w:p>
    <w:p w14:paraId="688F11E1">
      <w:pPr>
        <w:spacing w:line="500" w:lineRule="exact"/>
        <w:ind w:firstLine="480" w:firstLineChars="200"/>
        <w:rPr>
          <w:bCs/>
          <w:color w:val="000000" w:themeColor="text1"/>
          <w:szCs w:val="20"/>
        </w:rPr>
      </w:pPr>
      <w:r>
        <w:rPr>
          <w:rFonts w:hint="eastAsia"/>
          <w:bCs/>
          <w:color w:val="000000" w:themeColor="text1"/>
          <w:szCs w:val="20"/>
        </w:rPr>
        <w:t>（2）须接受现有的水电、弱电、暖通等物业条件（以现场实际为准）。</w:t>
      </w:r>
    </w:p>
    <w:p w14:paraId="24CD9560">
      <w:pPr>
        <w:spacing w:line="500" w:lineRule="exact"/>
        <w:ind w:firstLine="480" w:firstLineChars="200"/>
        <w:rPr>
          <w:bCs/>
          <w:color w:val="000000" w:themeColor="text1"/>
          <w:szCs w:val="20"/>
        </w:rPr>
      </w:pPr>
      <w:r>
        <w:rPr>
          <w:rFonts w:hint="eastAsia"/>
          <w:bCs/>
          <w:color w:val="000000" w:themeColor="text1"/>
          <w:szCs w:val="20"/>
        </w:rPr>
        <w:t>（3）商铺规划位置、面积、物业条件等商铺自然情况根据站房实际和铁路客运组织等要求，招商人会作相应调整，本招商说明书中列出的规划面积、位置等信息仅供参考，不作为最终依据。具体以实地勘量后双方签认的合同文本信息为准。</w:t>
      </w:r>
    </w:p>
    <w:p w14:paraId="0047E6A3">
      <w:pPr>
        <w:spacing w:line="500" w:lineRule="exact"/>
        <w:ind w:firstLine="480" w:firstLineChars="200"/>
        <w:rPr>
          <w:bCs/>
          <w:color w:val="000000" w:themeColor="text1"/>
          <w:szCs w:val="20"/>
        </w:rPr>
      </w:pPr>
      <w:r>
        <w:rPr>
          <w:rFonts w:hint="eastAsia"/>
          <w:bCs/>
          <w:color w:val="000000" w:themeColor="text1"/>
          <w:szCs w:val="20"/>
        </w:rPr>
        <w:t>（4）由中商人负责商铺装修及资金投资，并按招商人要求统一进行设计施工及开业。商铺装修设计应与站房建筑风格相协调，且须符合消防、环保等要求，装修设计实施方案（包括但不限于门面、店招及LOGO标志等）须经招商人审核后实施。</w:t>
      </w:r>
    </w:p>
    <w:p w14:paraId="6155E123">
      <w:pPr>
        <w:spacing w:line="500" w:lineRule="exact"/>
        <w:ind w:firstLine="480" w:firstLineChars="200"/>
        <w:rPr>
          <w:bCs/>
          <w:color w:val="000000" w:themeColor="text1"/>
          <w:szCs w:val="20"/>
        </w:rPr>
      </w:pPr>
      <w:r>
        <w:rPr>
          <w:rFonts w:hint="eastAsia"/>
          <w:bCs/>
          <w:color w:val="000000" w:themeColor="text1"/>
          <w:szCs w:val="20"/>
        </w:rPr>
        <w:t>（5）须遵守铁路方制订的各项管理制度和上铁文旅传媒集团公司安全管理相关规定。</w:t>
      </w:r>
    </w:p>
    <w:p w14:paraId="3C31B30D">
      <w:pPr>
        <w:spacing w:line="500" w:lineRule="exact"/>
        <w:ind w:firstLine="480" w:firstLineChars="200"/>
        <w:rPr>
          <w:bCs/>
          <w:color w:val="000000" w:themeColor="text1"/>
          <w:szCs w:val="20"/>
        </w:rPr>
      </w:pPr>
      <w:r>
        <w:rPr>
          <w:rFonts w:hint="eastAsia"/>
          <w:bCs/>
          <w:color w:val="000000" w:themeColor="text1"/>
          <w:szCs w:val="20"/>
        </w:rPr>
        <w:t>（6）商业服务费含税。商业服务费标准按招商说明书要求执行。</w:t>
      </w:r>
    </w:p>
    <w:p w14:paraId="1ECE57BE">
      <w:pPr>
        <w:spacing w:line="500" w:lineRule="exact"/>
        <w:ind w:firstLine="480" w:firstLineChars="200"/>
        <w:rPr>
          <w:bCs/>
          <w:color w:val="000000" w:themeColor="text1"/>
          <w:szCs w:val="20"/>
        </w:rPr>
      </w:pPr>
      <w:r>
        <w:rPr>
          <w:rFonts w:hint="eastAsia"/>
          <w:bCs/>
          <w:color w:val="000000" w:themeColor="text1"/>
          <w:szCs w:val="20"/>
        </w:rPr>
        <w:t>（7）商铺必须自营，不得转租、转包、分包或擅自改变用途、调整业态及增加营业范围。</w:t>
      </w:r>
    </w:p>
    <w:p w14:paraId="43BB831E">
      <w:pPr>
        <w:spacing w:line="500" w:lineRule="exact"/>
        <w:ind w:firstLine="480" w:firstLineChars="200"/>
        <w:rPr>
          <w:bCs/>
          <w:color w:val="000000" w:themeColor="text1"/>
          <w:szCs w:val="20"/>
        </w:rPr>
      </w:pPr>
      <w:r>
        <w:rPr>
          <w:rFonts w:hint="eastAsia"/>
          <w:bCs/>
          <w:color w:val="000000" w:themeColor="text1"/>
          <w:szCs w:val="20"/>
        </w:rPr>
        <w:t>（8）竞商人可竞商多个包件,每份竞商文件只针对一个包件。</w:t>
      </w:r>
    </w:p>
    <w:p w14:paraId="2920E74C">
      <w:pPr>
        <w:spacing w:line="500" w:lineRule="exact"/>
        <w:ind w:firstLine="480" w:firstLineChars="200"/>
        <w:rPr>
          <w:bCs/>
          <w:color w:val="000000" w:themeColor="text1"/>
          <w:szCs w:val="20"/>
        </w:rPr>
      </w:pPr>
      <w:r>
        <w:rPr>
          <w:rFonts w:hint="eastAsia"/>
          <w:bCs/>
          <w:color w:val="000000" w:themeColor="text1"/>
          <w:szCs w:val="20"/>
        </w:rPr>
        <w:t>（9）如遇铁路方重大方案调整，本招商项目中商商家需无条件进行配合。</w:t>
      </w:r>
    </w:p>
    <w:p w14:paraId="2EF0E8B8">
      <w:pPr>
        <w:spacing w:line="500" w:lineRule="exact"/>
        <w:ind w:firstLine="480" w:firstLineChars="200"/>
        <w:rPr>
          <w:bCs/>
          <w:color w:val="000000" w:themeColor="text1"/>
          <w:szCs w:val="20"/>
        </w:rPr>
      </w:pPr>
      <w:r>
        <w:rPr>
          <w:rFonts w:hint="eastAsia"/>
          <w:bCs/>
          <w:color w:val="000000" w:themeColor="text1"/>
          <w:szCs w:val="20"/>
        </w:rPr>
        <w:t>（10）如在招商人后续资质复核过程中发现竞商人不符合招商准入标准，则取消其竞商资格或中商资格。</w:t>
      </w:r>
    </w:p>
    <w:p w14:paraId="11F33F88">
      <w:pPr>
        <w:spacing w:line="500" w:lineRule="exact"/>
        <w:ind w:firstLine="480" w:firstLineChars="200"/>
        <w:rPr>
          <w:bCs/>
          <w:color w:val="000000" w:themeColor="text1"/>
          <w:szCs w:val="20"/>
        </w:rPr>
      </w:pPr>
      <w:r>
        <w:rPr>
          <w:rFonts w:hint="eastAsia"/>
          <w:bCs/>
          <w:color w:val="000000" w:themeColor="text1"/>
          <w:szCs w:val="20"/>
        </w:rPr>
        <w:t>（11）参与招商的竞商人股东、中层及以上管理人员、运营团队人员存在以下情况的，视为同一竞商人：</w:t>
      </w:r>
    </w:p>
    <w:p w14:paraId="4DAE5B1D">
      <w:pPr>
        <w:spacing w:line="500" w:lineRule="exact"/>
        <w:ind w:firstLine="600" w:firstLineChars="250"/>
        <w:rPr>
          <w:bCs/>
          <w:color w:val="000000" w:themeColor="text1"/>
          <w:szCs w:val="20"/>
        </w:rPr>
      </w:pPr>
      <w:r>
        <w:rPr>
          <w:rFonts w:hint="eastAsia"/>
          <w:bCs/>
          <w:color w:val="000000" w:themeColor="text1"/>
          <w:szCs w:val="20"/>
        </w:rPr>
        <w:t>①在其他竞商人的中层及以上管理岗位、运营团队任职的；</w:t>
      </w:r>
    </w:p>
    <w:p w14:paraId="7718D678">
      <w:pPr>
        <w:spacing w:line="500" w:lineRule="exact"/>
        <w:ind w:firstLine="600" w:firstLineChars="250"/>
        <w:rPr>
          <w:bCs/>
          <w:color w:val="000000" w:themeColor="text1"/>
          <w:szCs w:val="20"/>
        </w:rPr>
      </w:pPr>
      <w:r>
        <w:rPr>
          <w:rFonts w:hint="eastAsia"/>
          <w:bCs/>
          <w:color w:val="000000" w:themeColor="text1"/>
          <w:szCs w:val="20"/>
        </w:rPr>
        <w:t>②持有其他竞商人或经商人股东股份的；</w:t>
      </w:r>
    </w:p>
    <w:p w14:paraId="68ED09B6">
      <w:pPr>
        <w:spacing w:line="500" w:lineRule="exact"/>
        <w:ind w:firstLine="600" w:firstLineChars="250"/>
        <w:rPr>
          <w:bCs/>
          <w:color w:val="000000" w:themeColor="text1"/>
          <w:szCs w:val="20"/>
        </w:rPr>
      </w:pPr>
      <w:r>
        <w:rPr>
          <w:rFonts w:hint="eastAsia"/>
          <w:bCs/>
          <w:color w:val="000000" w:themeColor="text1"/>
          <w:szCs w:val="20"/>
        </w:rPr>
        <w:t>③与其他竞商人的股东、中层及以上管理人员、运营团队人员存在亲属关系的（包括三代以内直旁系亲属）。</w:t>
      </w:r>
    </w:p>
    <w:p w14:paraId="287AE734">
      <w:pPr>
        <w:spacing w:line="500" w:lineRule="exact"/>
        <w:ind w:firstLine="600" w:firstLineChars="250"/>
        <w:rPr>
          <w:rFonts w:hint="eastAsia"/>
          <w:bCs/>
          <w:color w:val="000000" w:themeColor="text1"/>
          <w:szCs w:val="20"/>
        </w:rPr>
      </w:pPr>
      <w:r>
        <w:rPr>
          <w:rFonts w:hint="eastAsia"/>
          <w:bCs/>
          <w:color w:val="000000" w:themeColor="text1"/>
          <w:szCs w:val="20"/>
        </w:rPr>
        <w:t>以上情况一经招商人确定，即取消同一竞商人竞商资格或中商资格。对经认定的同一竞商人竞商同一商铺（包件）的，则取消其竞商资格或中商资格（经营期间若被发现的，直接终止合同，履约保证金不予退还）。情节严重的，在后续招商活动中给予一定期限限制和考核。</w:t>
      </w:r>
    </w:p>
    <w:bookmarkEnd w:id="216"/>
    <w:p w14:paraId="793F9477">
      <w:pPr>
        <w:pStyle w:val="2"/>
        <w:spacing w:before="0" w:after="0" w:line="360" w:lineRule="auto"/>
        <w:rPr>
          <w:rFonts w:ascii="Times New Roman"/>
          <w:color w:val="000000" w:themeColor="text1"/>
        </w:rPr>
      </w:pPr>
      <w:bookmarkStart w:id="217" w:name="_Toc213516165"/>
      <w:bookmarkStart w:id="218" w:name="_Toc52930757"/>
      <w:bookmarkStart w:id="219" w:name="_Toc257903064"/>
      <w:bookmarkStart w:id="220" w:name="_Toc11128"/>
      <w:bookmarkStart w:id="221" w:name="_Toc283892537"/>
      <w:bookmarkStart w:id="222" w:name="_Toc51494254"/>
      <w:bookmarkStart w:id="223" w:name="_Toc283490369"/>
      <w:bookmarkStart w:id="224" w:name="_Toc77318572"/>
      <w:bookmarkStart w:id="225" w:name="_Toc339016035"/>
      <w:bookmarkStart w:id="226" w:name="_Toc282417426"/>
      <w:bookmarkStart w:id="227" w:name="_Toc336245466"/>
      <w:bookmarkStart w:id="228" w:name="_Toc336241627"/>
      <w:bookmarkStart w:id="229" w:name="_Toc282703499"/>
      <w:bookmarkStart w:id="230" w:name="_Toc283376818"/>
      <w:bookmarkStart w:id="231" w:name="_Toc66355885"/>
      <w:bookmarkStart w:id="232" w:name="_Toc60191120"/>
      <w:bookmarkStart w:id="233" w:name="_Toc51493876"/>
      <w:bookmarkStart w:id="234" w:name="_Toc53100457"/>
      <w:bookmarkStart w:id="235" w:name="_Toc66355954"/>
      <w:bookmarkStart w:id="236" w:name="_Toc338851116"/>
      <w:bookmarkStart w:id="237" w:name="_Toc336238863"/>
      <w:bookmarkStart w:id="238" w:name="_Toc283624760"/>
      <w:bookmarkStart w:id="239" w:name="_Toc354606546"/>
      <w:bookmarkStart w:id="240" w:name="_Toc354606457"/>
      <w:bookmarkStart w:id="241" w:name="_Toc213520728"/>
      <w:bookmarkStart w:id="242" w:name="_Toc355702868"/>
      <w:bookmarkStart w:id="243" w:name="_Toc283735874"/>
      <w:bookmarkStart w:id="244" w:name="_Toc213155131"/>
      <w:bookmarkStart w:id="245" w:name="_Toc53100379"/>
      <w:r>
        <w:rPr>
          <w:rFonts w:ascii="Times New Roman"/>
          <w:color w:val="000000" w:themeColor="text1"/>
        </w:rPr>
        <w:t>招商文件的获取</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p>
    <w:p w14:paraId="627C06C2">
      <w:pPr>
        <w:pStyle w:val="13"/>
        <w:spacing w:line="360" w:lineRule="auto"/>
        <w:rPr>
          <w:color w:val="000000" w:themeColor="text1"/>
        </w:rPr>
      </w:pPr>
      <w:r>
        <w:rPr>
          <w:color w:val="000000" w:themeColor="text1"/>
        </w:rPr>
        <w:t>竞商人在获取招商文件时应按要求登记相关信息，并直接从招商</w:t>
      </w:r>
      <w:r>
        <w:rPr>
          <w:rFonts w:hint="eastAsia"/>
          <w:color w:val="000000" w:themeColor="text1"/>
        </w:rPr>
        <w:t>人</w:t>
      </w:r>
      <w:r>
        <w:rPr>
          <w:color w:val="000000" w:themeColor="text1"/>
        </w:rPr>
        <w:t>处获得招商文件。任何以其他方式或途径获得招商文件的竞商人所递交的竞商文件均不予接受。</w:t>
      </w:r>
    </w:p>
    <w:p w14:paraId="101B2BC7">
      <w:pPr>
        <w:pStyle w:val="2"/>
        <w:spacing w:before="0" w:after="0" w:line="360" w:lineRule="auto"/>
        <w:rPr>
          <w:rFonts w:ascii="Times New Roman"/>
          <w:color w:val="000000" w:themeColor="text1"/>
        </w:rPr>
      </w:pPr>
      <w:bookmarkStart w:id="246" w:name="_Toc516733188"/>
      <w:bookmarkStart w:id="247" w:name="_Toc516757187"/>
      <w:bookmarkStart w:id="248" w:name="_Toc283376819"/>
      <w:bookmarkStart w:id="249" w:name="_Toc53100380"/>
      <w:bookmarkStart w:id="250" w:name="_Toc338851117"/>
      <w:bookmarkStart w:id="251" w:name="_Toc452800681"/>
      <w:bookmarkStart w:id="252" w:name="_Toc516733328"/>
      <w:bookmarkStart w:id="253" w:name="_Toc60191121"/>
      <w:bookmarkStart w:id="254" w:name="_Toc51493877"/>
      <w:bookmarkStart w:id="255" w:name="_Toc213520729"/>
      <w:bookmarkStart w:id="256" w:name="_Toc355702869"/>
      <w:bookmarkStart w:id="257" w:name="_Toc51494255"/>
      <w:bookmarkStart w:id="258" w:name="_Toc354606547"/>
      <w:bookmarkStart w:id="259" w:name="_Toc354606458"/>
      <w:bookmarkStart w:id="260" w:name="_Toc77318573"/>
      <w:bookmarkStart w:id="261" w:name="_Toc13899"/>
      <w:bookmarkStart w:id="262" w:name="_Toc434462176"/>
      <w:bookmarkStart w:id="263" w:name="_Toc213516166"/>
      <w:bookmarkStart w:id="264" w:name="_Toc516802498"/>
      <w:bookmarkStart w:id="265" w:name="_Toc434462787"/>
      <w:bookmarkStart w:id="266" w:name="_Toc336241628"/>
      <w:bookmarkStart w:id="267" w:name="_Toc339016036"/>
      <w:bookmarkStart w:id="268" w:name="_Toc53100458"/>
      <w:bookmarkStart w:id="269" w:name="_Toc336245467"/>
      <w:bookmarkStart w:id="270" w:name="_Toc283490370"/>
      <w:bookmarkStart w:id="271" w:name="_Toc452306094"/>
      <w:bookmarkStart w:id="272" w:name="_Toc213155132"/>
      <w:bookmarkStart w:id="273" w:name="_Toc282417427"/>
      <w:bookmarkStart w:id="274" w:name="_Toc283735875"/>
      <w:bookmarkStart w:id="275" w:name="_Toc282703500"/>
      <w:bookmarkStart w:id="276" w:name="_Toc452727296"/>
      <w:bookmarkStart w:id="277" w:name="_Toc434897290"/>
      <w:bookmarkStart w:id="278" w:name="_Toc516221071"/>
      <w:bookmarkStart w:id="279" w:name="_Toc283624761"/>
      <w:bookmarkStart w:id="280" w:name="_Toc52930758"/>
      <w:bookmarkStart w:id="281" w:name="_Toc452726936"/>
      <w:bookmarkStart w:id="282" w:name="_Toc257903065"/>
      <w:bookmarkStart w:id="283" w:name="_Toc283892538"/>
      <w:bookmarkStart w:id="284" w:name="_Toc66355955"/>
      <w:bookmarkStart w:id="285" w:name="_Toc336238864"/>
      <w:bookmarkStart w:id="286" w:name="_Toc66355886"/>
      <w:r>
        <w:rPr>
          <w:rFonts w:hint="eastAsia" w:ascii="Times New Roman"/>
          <w:color w:val="000000" w:themeColor="text1"/>
        </w:rPr>
        <w:t>竞商</w:t>
      </w:r>
      <w:r>
        <w:rPr>
          <w:rFonts w:ascii="Times New Roman"/>
          <w:color w:val="000000" w:themeColor="text1"/>
        </w:rPr>
        <w:t>费用</w:t>
      </w:r>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14:paraId="5DD6543E">
      <w:pPr>
        <w:pStyle w:val="13"/>
        <w:spacing w:line="360" w:lineRule="auto"/>
        <w:rPr>
          <w:color w:val="000000" w:themeColor="text1"/>
        </w:rPr>
      </w:pPr>
      <w:r>
        <w:rPr>
          <w:color w:val="000000" w:themeColor="text1"/>
        </w:rPr>
        <w:t>竞商人应自行承担与参加竞商有关的一切费用，不论竞商的结果如何，招商</w:t>
      </w:r>
      <w:r>
        <w:rPr>
          <w:rFonts w:hint="eastAsia"/>
          <w:color w:val="000000" w:themeColor="text1"/>
        </w:rPr>
        <w:t>人</w:t>
      </w:r>
      <w:r>
        <w:rPr>
          <w:color w:val="000000" w:themeColor="text1"/>
        </w:rPr>
        <w:t>在任何情况下均无义务和责任承担费用。</w:t>
      </w:r>
    </w:p>
    <w:p w14:paraId="1CA68529">
      <w:pPr>
        <w:pStyle w:val="173"/>
        <w:spacing w:before="0" w:after="0" w:line="360" w:lineRule="auto"/>
        <w:rPr>
          <w:rFonts w:ascii="Times New Roman"/>
          <w:color w:val="000000" w:themeColor="text1"/>
        </w:rPr>
      </w:pPr>
      <w:bookmarkStart w:id="287" w:name="_Toc51494256"/>
      <w:bookmarkStart w:id="288" w:name="_Toc213516167"/>
      <w:bookmarkStart w:id="289" w:name="_Toc77318574"/>
      <w:bookmarkStart w:id="290" w:name="_Toc53100459"/>
      <w:bookmarkStart w:id="291" w:name="_Toc66355956"/>
      <w:bookmarkStart w:id="292" w:name="_Toc51493878"/>
      <w:bookmarkStart w:id="293" w:name="_Toc336238865"/>
      <w:bookmarkStart w:id="294" w:name="_Toc336241629"/>
      <w:bookmarkStart w:id="295" w:name="_Toc282703501"/>
      <w:bookmarkStart w:id="296" w:name="_Toc213155133"/>
      <w:bookmarkStart w:id="297" w:name="_Toc60191122"/>
    </w:p>
    <w:p w14:paraId="3CAB05B7">
      <w:pPr>
        <w:pStyle w:val="173"/>
        <w:spacing w:before="0" w:after="0" w:line="360" w:lineRule="auto"/>
        <w:rPr>
          <w:rFonts w:ascii="Times New Roman"/>
          <w:color w:val="000000" w:themeColor="text1"/>
        </w:rPr>
      </w:pPr>
    </w:p>
    <w:p w14:paraId="243D06C7">
      <w:pPr>
        <w:pStyle w:val="173"/>
        <w:spacing w:before="0" w:after="0" w:line="360" w:lineRule="auto"/>
        <w:rPr>
          <w:rFonts w:ascii="Times New Roman"/>
          <w:color w:val="000000" w:themeColor="text1"/>
        </w:rPr>
      </w:pPr>
    </w:p>
    <w:p w14:paraId="14E3E27D">
      <w:pPr>
        <w:pStyle w:val="173"/>
        <w:spacing w:before="0" w:after="0" w:line="360" w:lineRule="auto"/>
        <w:rPr>
          <w:rFonts w:ascii="Times New Roman"/>
          <w:color w:val="000000" w:themeColor="text1"/>
        </w:rPr>
      </w:pPr>
    </w:p>
    <w:p w14:paraId="3589A47B">
      <w:pPr>
        <w:pStyle w:val="173"/>
        <w:spacing w:before="0" w:after="0" w:line="360" w:lineRule="auto"/>
        <w:rPr>
          <w:rFonts w:ascii="Times New Roman"/>
          <w:color w:val="000000" w:themeColor="text1"/>
        </w:rPr>
      </w:pPr>
    </w:p>
    <w:p w14:paraId="210E7C00">
      <w:pPr>
        <w:pStyle w:val="173"/>
        <w:spacing w:before="0" w:after="0" w:line="360" w:lineRule="auto"/>
        <w:rPr>
          <w:rFonts w:ascii="Times New Roman"/>
          <w:color w:val="000000" w:themeColor="text1"/>
        </w:rPr>
      </w:pPr>
    </w:p>
    <w:p w14:paraId="7F194ADE">
      <w:pPr>
        <w:pStyle w:val="173"/>
        <w:spacing w:before="0" w:after="0" w:line="360" w:lineRule="auto"/>
        <w:rPr>
          <w:rFonts w:ascii="Times New Roman"/>
          <w:color w:val="000000" w:themeColor="text1"/>
        </w:rPr>
      </w:pPr>
    </w:p>
    <w:p w14:paraId="15011B30">
      <w:pPr>
        <w:pStyle w:val="173"/>
        <w:spacing w:before="0" w:after="0" w:line="360" w:lineRule="auto"/>
        <w:rPr>
          <w:rFonts w:ascii="Times New Roman"/>
          <w:color w:val="000000" w:themeColor="text1"/>
        </w:rPr>
      </w:pPr>
    </w:p>
    <w:p w14:paraId="6479A57C">
      <w:pPr>
        <w:pStyle w:val="173"/>
        <w:spacing w:before="0" w:after="0" w:line="360" w:lineRule="auto"/>
        <w:jc w:val="left"/>
        <w:rPr>
          <w:rFonts w:ascii="Times New Roman"/>
          <w:color w:val="000000" w:themeColor="text1"/>
        </w:rPr>
      </w:pPr>
    </w:p>
    <w:p w14:paraId="78F97171">
      <w:pPr>
        <w:pStyle w:val="173"/>
        <w:spacing w:before="0" w:after="0" w:line="360" w:lineRule="auto"/>
        <w:rPr>
          <w:rFonts w:ascii="Times New Roman"/>
          <w:color w:val="000000" w:themeColor="text1"/>
        </w:rPr>
      </w:pPr>
      <w:r>
        <w:rPr>
          <w:rFonts w:ascii="Times New Roman"/>
          <w:color w:val="000000" w:themeColor="text1"/>
        </w:rPr>
        <w:t>二、招商文件说明</w:t>
      </w:r>
      <w:bookmarkEnd w:id="287"/>
      <w:bookmarkEnd w:id="288"/>
      <w:bookmarkEnd w:id="289"/>
      <w:bookmarkEnd w:id="290"/>
      <w:bookmarkEnd w:id="291"/>
      <w:bookmarkEnd w:id="292"/>
      <w:bookmarkEnd w:id="293"/>
      <w:bookmarkEnd w:id="294"/>
      <w:bookmarkEnd w:id="295"/>
      <w:bookmarkEnd w:id="296"/>
      <w:bookmarkEnd w:id="297"/>
    </w:p>
    <w:p w14:paraId="64106B6D">
      <w:pPr>
        <w:pStyle w:val="2"/>
        <w:spacing w:before="0" w:after="0" w:line="360" w:lineRule="auto"/>
        <w:rPr>
          <w:rFonts w:ascii="Times New Roman"/>
          <w:color w:val="000000" w:themeColor="text1"/>
        </w:rPr>
      </w:pPr>
      <w:bookmarkStart w:id="298" w:name="_Toc257903066"/>
      <w:bookmarkStart w:id="299" w:name="_Toc283735876"/>
      <w:bookmarkStart w:id="300" w:name="_Toc336238866"/>
      <w:bookmarkStart w:id="301" w:name="_Toc77318575"/>
      <w:bookmarkStart w:id="302" w:name="_Toc336241630"/>
      <w:bookmarkStart w:id="303" w:name="_Toc213516168"/>
      <w:bookmarkStart w:id="304" w:name="_Toc282417428"/>
      <w:bookmarkStart w:id="305" w:name="_Toc66355957"/>
      <w:bookmarkStart w:id="306" w:name="_Toc283892539"/>
      <w:bookmarkStart w:id="307" w:name="_Toc336245468"/>
      <w:bookmarkStart w:id="308" w:name="_Toc60191123"/>
      <w:bookmarkStart w:id="309" w:name="_Toc283490371"/>
      <w:bookmarkStart w:id="310" w:name="_Toc354606459"/>
      <w:bookmarkStart w:id="311" w:name="_Toc213520730"/>
      <w:bookmarkStart w:id="312" w:name="_Toc283624762"/>
      <w:bookmarkStart w:id="313" w:name="_Toc339016037"/>
      <w:bookmarkStart w:id="314" w:name="_Toc51494257"/>
      <w:bookmarkStart w:id="315" w:name="_Toc282703502"/>
      <w:bookmarkStart w:id="316" w:name="_Toc51493879"/>
      <w:bookmarkStart w:id="317" w:name="_Toc338851118"/>
      <w:bookmarkStart w:id="318" w:name="_Toc66355887"/>
      <w:bookmarkStart w:id="319" w:name="_Toc354606548"/>
      <w:bookmarkStart w:id="320" w:name="_Toc355702870"/>
      <w:bookmarkStart w:id="321" w:name="_Toc283376820"/>
      <w:bookmarkStart w:id="322" w:name="_Toc53100381"/>
      <w:bookmarkStart w:id="323" w:name="_Toc52930759"/>
      <w:bookmarkStart w:id="324" w:name="_Toc53100460"/>
      <w:bookmarkStart w:id="325" w:name="_Toc5906"/>
      <w:bookmarkStart w:id="326" w:name="_Toc213155134"/>
      <w:r>
        <w:rPr>
          <w:rFonts w:ascii="Times New Roman"/>
          <w:color w:val="000000" w:themeColor="text1"/>
        </w:rPr>
        <w:t>招商文件的构成</w:t>
      </w:r>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w14:paraId="4990E9DF">
      <w:pPr>
        <w:numPr>
          <w:ilvl w:val="1"/>
          <w:numId w:val="1"/>
        </w:numPr>
        <w:spacing w:line="360" w:lineRule="auto"/>
        <w:ind w:left="-240" w:leftChars="0" w:firstLineChars="0"/>
        <w:rPr>
          <w:color w:val="000000" w:themeColor="text1"/>
        </w:rPr>
      </w:pPr>
      <w:r>
        <w:rPr>
          <w:color w:val="000000" w:themeColor="text1"/>
        </w:rPr>
        <w:t>招商文件由下列部分组成：</w:t>
      </w:r>
    </w:p>
    <w:p w14:paraId="786E1E58">
      <w:pPr>
        <w:pStyle w:val="8"/>
        <w:numPr>
          <w:ilvl w:val="0"/>
          <w:numId w:val="7"/>
        </w:numPr>
        <w:spacing w:line="360" w:lineRule="auto"/>
        <w:rPr>
          <w:color w:val="000000" w:themeColor="text1"/>
        </w:rPr>
      </w:pPr>
      <w:r>
        <w:rPr>
          <w:rFonts w:hint="eastAsia"/>
          <w:color w:val="000000" w:themeColor="text1"/>
        </w:rPr>
        <w:t>招商公告</w:t>
      </w:r>
      <w:r>
        <w:rPr>
          <w:color w:val="000000" w:themeColor="text1"/>
        </w:rPr>
        <w:t>；</w:t>
      </w:r>
    </w:p>
    <w:p w14:paraId="62C2F1A0">
      <w:pPr>
        <w:pStyle w:val="8"/>
        <w:numPr>
          <w:ilvl w:val="0"/>
          <w:numId w:val="7"/>
        </w:numPr>
        <w:spacing w:line="360" w:lineRule="auto"/>
        <w:rPr>
          <w:color w:val="000000" w:themeColor="text1"/>
        </w:rPr>
      </w:pPr>
      <w:r>
        <w:rPr>
          <w:color w:val="000000" w:themeColor="text1"/>
        </w:rPr>
        <w:t>竞商人须知；</w:t>
      </w:r>
    </w:p>
    <w:p w14:paraId="674F2D9F">
      <w:pPr>
        <w:pStyle w:val="8"/>
        <w:numPr>
          <w:ilvl w:val="0"/>
          <w:numId w:val="7"/>
        </w:numPr>
        <w:spacing w:line="360" w:lineRule="auto"/>
        <w:rPr>
          <w:color w:val="000000" w:themeColor="text1"/>
        </w:rPr>
      </w:pPr>
      <w:r>
        <w:rPr>
          <w:color w:val="000000" w:themeColor="text1"/>
        </w:rPr>
        <w:t>项目情况介绍；</w:t>
      </w:r>
    </w:p>
    <w:p w14:paraId="141DB7B0">
      <w:pPr>
        <w:pStyle w:val="8"/>
        <w:numPr>
          <w:ilvl w:val="0"/>
          <w:numId w:val="7"/>
        </w:numPr>
        <w:spacing w:line="360" w:lineRule="auto"/>
        <w:rPr>
          <w:color w:val="000000" w:themeColor="text1"/>
        </w:rPr>
      </w:pPr>
      <w:r>
        <w:rPr>
          <w:color w:val="000000" w:themeColor="text1"/>
        </w:rPr>
        <w:t>评审细则；</w:t>
      </w:r>
    </w:p>
    <w:p w14:paraId="04E4E535">
      <w:pPr>
        <w:pStyle w:val="8"/>
        <w:numPr>
          <w:ilvl w:val="0"/>
          <w:numId w:val="7"/>
        </w:numPr>
        <w:spacing w:line="360" w:lineRule="auto"/>
        <w:rPr>
          <w:color w:val="000000" w:themeColor="text1"/>
        </w:rPr>
      </w:pPr>
      <w:r>
        <w:rPr>
          <w:rFonts w:hint="eastAsia"/>
          <w:bCs/>
          <w:color w:val="000000" w:themeColor="text1"/>
        </w:rPr>
        <w:t>铁路经营场所租赁和服务合同</w:t>
      </w:r>
      <w:r>
        <w:rPr>
          <w:color w:val="000000" w:themeColor="text1"/>
        </w:rPr>
        <w:t>（格式）；</w:t>
      </w:r>
    </w:p>
    <w:p w14:paraId="3A5B18C5">
      <w:pPr>
        <w:pStyle w:val="8"/>
        <w:numPr>
          <w:ilvl w:val="0"/>
          <w:numId w:val="7"/>
        </w:numPr>
        <w:spacing w:line="360" w:lineRule="auto"/>
        <w:rPr>
          <w:color w:val="000000" w:themeColor="text1"/>
        </w:rPr>
      </w:pPr>
      <w:r>
        <w:rPr>
          <w:color w:val="000000" w:themeColor="text1"/>
        </w:rPr>
        <w:t>竞商文件格式；</w:t>
      </w:r>
    </w:p>
    <w:p w14:paraId="7BC1D8C5">
      <w:pPr>
        <w:numPr>
          <w:ilvl w:val="1"/>
          <w:numId w:val="1"/>
        </w:numPr>
        <w:spacing w:line="360" w:lineRule="auto"/>
        <w:ind w:left="-240" w:leftChars="0" w:firstLineChars="0"/>
        <w:rPr>
          <w:color w:val="000000" w:themeColor="text1"/>
        </w:rPr>
      </w:pPr>
      <w:r>
        <w:rPr>
          <w:color w:val="000000" w:themeColor="text1"/>
        </w:rPr>
        <w:t>竞商人应认真阅读招商文件中所有的章节、条款、格式、附表和附件。如果竞商人没有按照招商文件的要求提交全部资料，或者竞商文件没有对招商文件在各方面都作出实质性响应，则属于竞商人的风险。没有实质性响应招商文件要求的竞商</w:t>
      </w:r>
      <w:r>
        <w:rPr>
          <w:rFonts w:hint="eastAsia"/>
          <w:color w:val="000000" w:themeColor="text1"/>
        </w:rPr>
        <w:t>文件</w:t>
      </w:r>
      <w:r>
        <w:rPr>
          <w:color w:val="000000" w:themeColor="text1"/>
        </w:rPr>
        <w:t>将被否决。</w:t>
      </w:r>
    </w:p>
    <w:p w14:paraId="47ACBDC5">
      <w:pPr>
        <w:numPr>
          <w:ilvl w:val="1"/>
          <w:numId w:val="1"/>
        </w:numPr>
        <w:spacing w:line="360" w:lineRule="auto"/>
        <w:ind w:left="-240" w:leftChars="0" w:firstLineChars="0"/>
        <w:rPr>
          <w:color w:val="000000" w:themeColor="text1"/>
        </w:rPr>
      </w:pPr>
      <w:r>
        <w:rPr>
          <w:color w:val="000000" w:themeColor="text1"/>
        </w:rPr>
        <w:t>不论是否递交竞商文件，</w:t>
      </w:r>
      <w:r>
        <w:rPr>
          <w:rFonts w:hint="eastAsia"/>
          <w:color w:val="000000" w:themeColor="text1"/>
        </w:rPr>
        <w:t>获得</w:t>
      </w:r>
      <w:r>
        <w:rPr>
          <w:color w:val="000000" w:themeColor="text1"/>
        </w:rPr>
        <w:t>招商文件的竞商人</w:t>
      </w:r>
      <w:r>
        <w:rPr>
          <w:rFonts w:hint="eastAsia"/>
          <w:color w:val="000000" w:themeColor="text1"/>
        </w:rPr>
        <w:t>或</w:t>
      </w:r>
      <w:r>
        <w:rPr>
          <w:color w:val="000000" w:themeColor="text1"/>
        </w:rPr>
        <w:t>潜在竞商人都应承担对招商文件的保密义务。</w:t>
      </w:r>
    </w:p>
    <w:p w14:paraId="411C46CA">
      <w:pPr>
        <w:pStyle w:val="2"/>
        <w:spacing w:before="0" w:after="0" w:line="360" w:lineRule="auto"/>
        <w:rPr>
          <w:rFonts w:ascii="Times New Roman"/>
          <w:color w:val="000000" w:themeColor="text1"/>
        </w:rPr>
      </w:pPr>
      <w:bookmarkStart w:id="327" w:name="_Toc283892540"/>
      <w:bookmarkStart w:id="328" w:name="_Toc53100461"/>
      <w:bookmarkStart w:id="329" w:name="_Toc257903067"/>
      <w:bookmarkStart w:id="330" w:name="_Toc283376821"/>
      <w:bookmarkStart w:id="331" w:name="_Toc336238867"/>
      <w:bookmarkStart w:id="332" w:name="_Toc282703503"/>
      <w:bookmarkStart w:id="333" w:name="_Toc339016038"/>
      <w:bookmarkStart w:id="334" w:name="_Toc52930760"/>
      <w:bookmarkStart w:id="335" w:name="_Toc213520731"/>
      <w:bookmarkStart w:id="336" w:name="_Toc338851119"/>
      <w:bookmarkStart w:id="337" w:name="_Toc18221"/>
      <w:bookmarkStart w:id="338" w:name="_Toc53100382"/>
      <w:bookmarkStart w:id="339" w:name="_Toc354606460"/>
      <w:bookmarkStart w:id="340" w:name="_Toc51493880"/>
      <w:bookmarkStart w:id="341" w:name="_Toc336245469"/>
      <w:bookmarkStart w:id="342" w:name="_Toc51494258"/>
      <w:bookmarkStart w:id="343" w:name="_Toc60191124"/>
      <w:bookmarkStart w:id="344" w:name="_Toc77318576"/>
      <w:bookmarkStart w:id="345" w:name="_Toc282417429"/>
      <w:bookmarkStart w:id="346" w:name="_Toc336241631"/>
      <w:bookmarkStart w:id="347" w:name="_Toc283490372"/>
      <w:bookmarkStart w:id="348" w:name="_Toc283735877"/>
      <w:bookmarkStart w:id="349" w:name="_Toc66355888"/>
      <w:bookmarkStart w:id="350" w:name="_Toc283624763"/>
      <w:bookmarkStart w:id="351" w:name="_Toc213155135"/>
      <w:bookmarkStart w:id="352" w:name="_Toc355702871"/>
      <w:bookmarkStart w:id="353" w:name="_Toc213516169"/>
      <w:bookmarkStart w:id="354" w:name="_Toc354606549"/>
      <w:bookmarkStart w:id="355" w:name="_Toc66355958"/>
      <w:r>
        <w:rPr>
          <w:rFonts w:ascii="Times New Roman"/>
          <w:color w:val="000000" w:themeColor="text1"/>
        </w:rPr>
        <w:t>招商文件的澄清</w:t>
      </w:r>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p>
    <w:p w14:paraId="06751780">
      <w:pPr>
        <w:numPr>
          <w:ilvl w:val="1"/>
          <w:numId w:val="1"/>
        </w:numPr>
        <w:spacing w:line="360" w:lineRule="auto"/>
        <w:ind w:left="-240" w:leftChars="0" w:firstLineChars="0"/>
        <w:rPr>
          <w:color w:val="000000" w:themeColor="text1"/>
        </w:rPr>
      </w:pPr>
      <w:r>
        <w:rPr>
          <w:color w:val="000000" w:themeColor="text1"/>
        </w:rPr>
        <w:t>竞商人如对招商文件存在疑问，可以书面形式（传真、信函或电子邮件，下同）要求澄清。招商单位对招商文件澄清提问截止时间前收到的澄清要求，将于三（3）天内以书面形式（传真、信函或电子邮件）作出答复，答复中将包括对问题的描述和解答，但不说明问题来源。书面答复将发给所有领取招商文件的潜在竞商人。</w:t>
      </w:r>
    </w:p>
    <w:p w14:paraId="373D9252">
      <w:pPr>
        <w:numPr>
          <w:ilvl w:val="1"/>
          <w:numId w:val="1"/>
        </w:numPr>
        <w:spacing w:line="360" w:lineRule="auto"/>
        <w:ind w:left="-240" w:leftChars="0" w:firstLineChars="0"/>
        <w:rPr>
          <w:color w:val="000000" w:themeColor="text1"/>
        </w:rPr>
      </w:pPr>
      <w:r>
        <w:rPr>
          <w:color w:val="000000" w:themeColor="text1"/>
        </w:rPr>
        <w:t>书面答复将作为本招商文件的组成部分，与本招商文件具有同等的法律效力。</w:t>
      </w:r>
    </w:p>
    <w:p w14:paraId="50F9F9ED">
      <w:pPr>
        <w:pStyle w:val="2"/>
        <w:spacing w:before="0" w:after="0" w:line="360" w:lineRule="auto"/>
        <w:rPr>
          <w:rFonts w:ascii="Times New Roman"/>
          <w:color w:val="000000" w:themeColor="text1"/>
        </w:rPr>
      </w:pPr>
      <w:bookmarkStart w:id="356" w:name="_Toc283624764"/>
      <w:bookmarkStart w:id="357" w:name="_Toc282417430"/>
      <w:bookmarkStart w:id="358" w:name="_Toc355702872"/>
      <w:bookmarkStart w:id="359" w:name="_Toc282703504"/>
      <w:bookmarkStart w:id="360" w:name="_Toc66355959"/>
      <w:bookmarkStart w:id="361" w:name="_Toc51493881"/>
      <w:bookmarkStart w:id="362" w:name="_Toc66355889"/>
      <w:bookmarkStart w:id="363" w:name="_Toc283892541"/>
      <w:bookmarkStart w:id="364" w:name="_Toc257903068"/>
      <w:bookmarkStart w:id="365" w:name="_Toc51494259"/>
      <w:bookmarkStart w:id="366" w:name="_Toc283376822"/>
      <w:bookmarkStart w:id="367" w:name="_Toc336238868"/>
      <w:bookmarkStart w:id="368" w:name="_Toc60191125"/>
      <w:bookmarkStart w:id="369" w:name="_Toc338851120"/>
      <w:bookmarkStart w:id="370" w:name="_Toc339016039"/>
      <w:bookmarkStart w:id="371" w:name="_Toc53100462"/>
      <w:bookmarkStart w:id="372" w:name="_Toc77318577"/>
      <w:bookmarkStart w:id="373" w:name="_Toc283490373"/>
      <w:bookmarkStart w:id="374" w:name="_Toc213155136"/>
      <w:bookmarkStart w:id="375" w:name="_Toc354606550"/>
      <w:bookmarkStart w:id="376" w:name="_Toc213516170"/>
      <w:bookmarkStart w:id="377" w:name="_Toc53100383"/>
      <w:bookmarkStart w:id="378" w:name="_Toc336245470"/>
      <w:bookmarkStart w:id="379" w:name="_Toc52930761"/>
      <w:bookmarkStart w:id="380" w:name="_Toc283735878"/>
      <w:bookmarkStart w:id="381" w:name="_Toc354606461"/>
      <w:bookmarkStart w:id="382" w:name="_Toc213520732"/>
      <w:bookmarkStart w:id="383" w:name="_Toc336241632"/>
      <w:bookmarkStart w:id="384" w:name="_Toc31995"/>
      <w:r>
        <w:rPr>
          <w:rFonts w:ascii="Times New Roman"/>
          <w:color w:val="000000" w:themeColor="text1"/>
        </w:rPr>
        <w:t>招商文件的修改</w:t>
      </w:r>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p>
    <w:p w14:paraId="7B447A66">
      <w:pPr>
        <w:numPr>
          <w:ilvl w:val="1"/>
          <w:numId w:val="1"/>
        </w:numPr>
        <w:spacing w:line="360" w:lineRule="auto"/>
        <w:ind w:left="-240" w:leftChars="0" w:firstLineChars="0"/>
        <w:rPr>
          <w:color w:val="000000" w:themeColor="text1"/>
        </w:rPr>
      </w:pPr>
      <w:r>
        <w:rPr>
          <w:rFonts w:hint="eastAsia"/>
          <w:color w:val="000000" w:themeColor="text1"/>
        </w:rPr>
        <w:t>竞商</w:t>
      </w:r>
      <w:r>
        <w:rPr>
          <w:color w:val="000000" w:themeColor="text1"/>
        </w:rPr>
        <w:t>截止时间前，无论出于何种原因，招商单位可主动地或在解答竞商人提出的问题时对招商文件进行修改，并</w:t>
      </w:r>
      <w:r>
        <w:rPr>
          <w:rFonts w:hint="eastAsia"/>
          <w:color w:val="000000" w:themeColor="text1"/>
        </w:rPr>
        <w:t>在国铁招商、爱上铁</w:t>
      </w:r>
      <w:r>
        <w:rPr>
          <w:rFonts w:hint="eastAsia"/>
          <w:bCs/>
          <w:color w:val="000000" w:themeColor="text1"/>
          <w:szCs w:val="20"/>
        </w:rPr>
        <w:t>公众号</w:t>
      </w:r>
      <w:r>
        <w:rPr>
          <w:rFonts w:hint="eastAsia"/>
          <w:color w:val="000000" w:themeColor="text1"/>
        </w:rPr>
        <w:t>上发布</w:t>
      </w:r>
      <w:r>
        <w:rPr>
          <w:color w:val="000000" w:themeColor="text1"/>
        </w:rPr>
        <w:t>。</w:t>
      </w:r>
    </w:p>
    <w:p w14:paraId="4580134F">
      <w:pPr>
        <w:numPr>
          <w:ilvl w:val="1"/>
          <w:numId w:val="1"/>
        </w:numPr>
        <w:spacing w:line="360" w:lineRule="auto"/>
        <w:ind w:left="-240" w:leftChars="0" w:firstLineChars="0"/>
        <w:rPr>
          <w:color w:val="000000" w:themeColor="text1"/>
        </w:rPr>
      </w:pPr>
      <w:r>
        <w:rPr>
          <w:color w:val="000000" w:themeColor="text1"/>
        </w:rPr>
        <w:t>根据招商文件修改的内容及性质，为了使竞商人有足够时间对招商文件修改部分的内容进行研究并作出响应，招商单位可酌情相应推迟竞商截止时间，并</w:t>
      </w:r>
      <w:r>
        <w:rPr>
          <w:rFonts w:hint="eastAsia"/>
          <w:color w:val="000000" w:themeColor="text1"/>
        </w:rPr>
        <w:t>在国铁招商、爱上铁</w:t>
      </w:r>
      <w:r>
        <w:rPr>
          <w:rFonts w:hint="eastAsia"/>
          <w:bCs/>
          <w:color w:val="000000" w:themeColor="text1"/>
          <w:szCs w:val="20"/>
        </w:rPr>
        <w:t>公众号</w:t>
      </w:r>
      <w:r>
        <w:rPr>
          <w:rFonts w:hint="eastAsia"/>
          <w:color w:val="000000" w:themeColor="text1"/>
        </w:rPr>
        <w:t>上发布</w:t>
      </w:r>
      <w:r>
        <w:rPr>
          <w:color w:val="000000" w:themeColor="text1"/>
        </w:rPr>
        <w:t>。</w:t>
      </w:r>
    </w:p>
    <w:p w14:paraId="53054BC3">
      <w:pPr>
        <w:numPr>
          <w:ilvl w:val="1"/>
          <w:numId w:val="1"/>
        </w:numPr>
        <w:spacing w:line="360" w:lineRule="auto"/>
        <w:ind w:left="-240" w:leftChars="0" w:firstLineChars="0"/>
        <w:rPr>
          <w:color w:val="000000" w:themeColor="text1"/>
        </w:rPr>
      </w:pPr>
      <w:r>
        <w:rPr>
          <w:color w:val="000000" w:themeColor="text1"/>
        </w:rPr>
        <w:t>对招商文件的修改应视为招商文件不可分割的组成部分，对竞商人具有与招商文件相同的约束力。</w:t>
      </w:r>
    </w:p>
    <w:p w14:paraId="6AC2388B">
      <w:pPr>
        <w:numPr>
          <w:ilvl w:val="1"/>
          <w:numId w:val="1"/>
        </w:numPr>
        <w:spacing w:line="360" w:lineRule="auto"/>
        <w:ind w:left="-240" w:leftChars="0" w:firstLineChars="0"/>
        <w:rPr>
          <w:color w:val="000000" w:themeColor="text1"/>
        </w:rPr>
      </w:pPr>
      <w:r>
        <w:rPr>
          <w:color w:val="000000" w:themeColor="text1"/>
        </w:rPr>
        <w:t>当后发的招商文件修改通知与原招商文件或此前发出的招商文件修改通知之间存有不一致时，应以后发的招商文件修改通知为准。</w:t>
      </w:r>
    </w:p>
    <w:p w14:paraId="7175B809">
      <w:pPr>
        <w:pStyle w:val="173"/>
        <w:spacing w:before="0" w:after="0" w:line="360" w:lineRule="auto"/>
        <w:rPr>
          <w:rFonts w:ascii="Times New Roman"/>
          <w:color w:val="000000" w:themeColor="text1"/>
        </w:rPr>
      </w:pPr>
      <w:bookmarkStart w:id="385" w:name="_Toc77318578"/>
      <w:bookmarkStart w:id="386" w:name="_Toc51493882"/>
      <w:bookmarkStart w:id="387" w:name="_Toc336238869"/>
      <w:bookmarkStart w:id="388" w:name="_Toc282703505"/>
      <w:bookmarkStart w:id="389" w:name="_Toc51494260"/>
      <w:bookmarkStart w:id="390" w:name="_Toc213516171"/>
      <w:bookmarkStart w:id="391" w:name="_Toc213155137"/>
      <w:bookmarkStart w:id="392" w:name="_Toc66355960"/>
      <w:bookmarkStart w:id="393" w:name="_Toc60191126"/>
      <w:bookmarkStart w:id="394" w:name="_Toc336241633"/>
      <w:bookmarkStart w:id="395" w:name="_Toc53100463"/>
    </w:p>
    <w:p w14:paraId="30012367">
      <w:pPr>
        <w:pStyle w:val="173"/>
        <w:spacing w:before="0" w:after="0" w:line="360" w:lineRule="auto"/>
        <w:rPr>
          <w:rFonts w:ascii="Times New Roman"/>
          <w:color w:val="000000" w:themeColor="text1"/>
        </w:rPr>
      </w:pPr>
    </w:p>
    <w:p w14:paraId="66127A70">
      <w:pPr>
        <w:pStyle w:val="173"/>
        <w:spacing w:before="0" w:after="0" w:line="360" w:lineRule="auto"/>
        <w:rPr>
          <w:rFonts w:ascii="Times New Roman"/>
          <w:color w:val="000000" w:themeColor="text1"/>
        </w:rPr>
      </w:pPr>
    </w:p>
    <w:p w14:paraId="5F1DFBF7">
      <w:pPr>
        <w:pStyle w:val="173"/>
        <w:spacing w:before="0" w:after="0" w:line="360" w:lineRule="auto"/>
        <w:rPr>
          <w:rFonts w:ascii="Times New Roman"/>
          <w:color w:val="000000" w:themeColor="text1"/>
        </w:rPr>
      </w:pPr>
      <w:r>
        <w:rPr>
          <w:rFonts w:ascii="Times New Roman"/>
          <w:color w:val="000000" w:themeColor="text1"/>
        </w:rPr>
        <w:t>三、竞商文件的编制</w:t>
      </w:r>
      <w:bookmarkEnd w:id="385"/>
      <w:bookmarkEnd w:id="386"/>
      <w:bookmarkEnd w:id="387"/>
      <w:bookmarkEnd w:id="388"/>
      <w:bookmarkEnd w:id="389"/>
      <w:bookmarkEnd w:id="390"/>
      <w:bookmarkEnd w:id="391"/>
      <w:bookmarkEnd w:id="392"/>
      <w:bookmarkEnd w:id="393"/>
      <w:bookmarkEnd w:id="394"/>
      <w:bookmarkEnd w:id="395"/>
    </w:p>
    <w:p w14:paraId="61871393">
      <w:pPr>
        <w:pStyle w:val="2"/>
        <w:spacing w:before="0" w:after="0" w:line="360" w:lineRule="auto"/>
        <w:rPr>
          <w:rFonts w:ascii="Times New Roman"/>
          <w:color w:val="000000" w:themeColor="text1"/>
        </w:rPr>
      </w:pPr>
      <w:bookmarkStart w:id="396" w:name="_Toc282703506"/>
      <w:bookmarkStart w:id="397" w:name="_Toc283624765"/>
      <w:bookmarkStart w:id="398" w:name="_Toc283892542"/>
      <w:bookmarkStart w:id="399" w:name="_Toc52930762"/>
      <w:bookmarkStart w:id="400" w:name="_Toc51493883"/>
      <w:bookmarkStart w:id="401" w:name="_Toc339016040"/>
      <w:bookmarkStart w:id="402" w:name="_Toc53100384"/>
      <w:bookmarkStart w:id="403" w:name="_Toc53100464"/>
      <w:bookmarkStart w:id="404" w:name="_Toc213155138"/>
      <w:bookmarkStart w:id="405" w:name="_Toc354606462"/>
      <w:bookmarkStart w:id="406" w:name="_Toc257903069"/>
      <w:bookmarkStart w:id="407" w:name="_Toc338851121"/>
      <w:bookmarkStart w:id="408" w:name="_Toc283490374"/>
      <w:bookmarkStart w:id="409" w:name="_Toc66355961"/>
      <w:bookmarkStart w:id="410" w:name="_Toc336238870"/>
      <w:bookmarkStart w:id="411" w:name="_Toc213520733"/>
      <w:bookmarkStart w:id="412" w:name="_Toc60191127"/>
      <w:bookmarkStart w:id="413" w:name="_Toc4326"/>
      <w:bookmarkStart w:id="414" w:name="_Toc51494261"/>
      <w:bookmarkStart w:id="415" w:name="_Toc354606551"/>
      <w:bookmarkStart w:id="416" w:name="_Toc355702873"/>
      <w:bookmarkStart w:id="417" w:name="_Toc336241634"/>
      <w:bookmarkStart w:id="418" w:name="_Toc213516172"/>
      <w:bookmarkStart w:id="419" w:name="_Toc283735879"/>
      <w:bookmarkStart w:id="420" w:name="_Toc66355890"/>
      <w:bookmarkStart w:id="421" w:name="_Toc336245471"/>
      <w:bookmarkStart w:id="422" w:name="_Toc283376823"/>
      <w:bookmarkStart w:id="423" w:name="_Toc282417431"/>
      <w:bookmarkStart w:id="424" w:name="_Toc77318579"/>
      <w:r>
        <w:rPr>
          <w:rFonts w:hint="eastAsia" w:ascii="Times New Roman"/>
          <w:color w:val="000000" w:themeColor="text1"/>
        </w:rPr>
        <w:t>竞商</w:t>
      </w:r>
      <w:r>
        <w:rPr>
          <w:rFonts w:ascii="Times New Roman"/>
          <w:color w:val="000000" w:themeColor="text1"/>
        </w:rPr>
        <w:t>语言及计量单位</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14:paraId="675A9F49">
      <w:pPr>
        <w:numPr>
          <w:ilvl w:val="1"/>
          <w:numId w:val="1"/>
        </w:numPr>
        <w:spacing w:line="360" w:lineRule="auto"/>
        <w:ind w:left="-240" w:leftChars="0" w:firstLineChars="0"/>
        <w:rPr>
          <w:color w:val="000000" w:themeColor="text1"/>
        </w:rPr>
      </w:pPr>
      <w:r>
        <w:rPr>
          <w:color w:val="000000" w:themeColor="text1"/>
        </w:rPr>
        <w:t>竞商文件及竞商人和招商</w:t>
      </w:r>
      <w:r>
        <w:rPr>
          <w:rFonts w:hint="eastAsia"/>
          <w:color w:val="000000" w:themeColor="text1"/>
        </w:rPr>
        <w:t>人</w:t>
      </w:r>
      <w:r>
        <w:rPr>
          <w:color w:val="000000" w:themeColor="text1"/>
        </w:rPr>
        <w:t>就</w:t>
      </w:r>
      <w:r>
        <w:rPr>
          <w:rFonts w:hint="eastAsia"/>
          <w:color w:val="000000" w:themeColor="text1"/>
        </w:rPr>
        <w:t>竞商</w:t>
      </w:r>
      <w:r>
        <w:rPr>
          <w:color w:val="000000" w:themeColor="text1"/>
        </w:rPr>
        <w:t>交换的文件和往来函件均应用中文编写和提交。</w:t>
      </w:r>
    </w:p>
    <w:p w14:paraId="67E81C5B">
      <w:pPr>
        <w:numPr>
          <w:ilvl w:val="1"/>
          <w:numId w:val="1"/>
        </w:numPr>
        <w:spacing w:line="360" w:lineRule="auto"/>
        <w:ind w:left="-240" w:leftChars="0" w:firstLineChars="0"/>
        <w:rPr>
          <w:color w:val="000000" w:themeColor="text1"/>
        </w:rPr>
      </w:pPr>
      <w:r>
        <w:rPr>
          <w:color w:val="000000" w:themeColor="text1"/>
        </w:rPr>
        <w:t>竞商文件中所用的计量单位均应使用中华人民共和国法定计量单位（国际单位制和中国国家标准选定的其他计量单位）。</w:t>
      </w:r>
    </w:p>
    <w:p w14:paraId="22437020">
      <w:pPr>
        <w:pStyle w:val="2"/>
        <w:spacing w:before="0" w:after="0" w:line="360" w:lineRule="auto"/>
        <w:rPr>
          <w:rFonts w:ascii="Times New Roman"/>
          <w:color w:val="000000" w:themeColor="text1"/>
        </w:rPr>
      </w:pPr>
      <w:bookmarkStart w:id="425" w:name="_Toc52930764"/>
      <w:bookmarkStart w:id="426" w:name="_Toc213155139"/>
      <w:bookmarkStart w:id="427" w:name="_Toc354606552"/>
      <w:bookmarkStart w:id="428" w:name="_Toc336245472"/>
      <w:bookmarkStart w:id="429" w:name="_Toc354606463"/>
      <w:bookmarkStart w:id="430" w:name="_Toc283376824"/>
      <w:bookmarkStart w:id="431" w:name="_Toc283490375"/>
      <w:bookmarkStart w:id="432" w:name="_Toc53100386"/>
      <w:bookmarkStart w:id="433" w:name="_Toc339016041"/>
      <w:bookmarkStart w:id="434" w:name="_Toc77318580"/>
      <w:bookmarkStart w:id="435" w:name="_Toc213520734"/>
      <w:bookmarkStart w:id="436" w:name="_Toc51493885"/>
      <w:bookmarkStart w:id="437" w:name="_Toc338851122"/>
      <w:bookmarkStart w:id="438" w:name="_Toc355702874"/>
      <w:bookmarkStart w:id="439" w:name="_Toc66355891"/>
      <w:bookmarkStart w:id="440" w:name="_Toc60191129"/>
      <w:bookmarkStart w:id="441" w:name="_Toc283892543"/>
      <w:bookmarkStart w:id="442" w:name="_Toc24083"/>
      <w:bookmarkStart w:id="443" w:name="_Toc51494263"/>
      <w:bookmarkStart w:id="444" w:name="_Toc283735880"/>
      <w:bookmarkStart w:id="445" w:name="_Toc282703507"/>
      <w:bookmarkStart w:id="446" w:name="_Toc336241635"/>
      <w:bookmarkStart w:id="447" w:name="_Toc283624766"/>
      <w:bookmarkStart w:id="448" w:name="_Toc213516173"/>
      <w:bookmarkStart w:id="449" w:name="_Toc66355962"/>
      <w:bookmarkStart w:id="450" w:name="_Toc53100466"/>
      <w:bookmarkStart w:id="451" w:name="_Toc257903070"/>
      <w:bookmarkStart w:id="452" w:name="_Toc282417432"/>
      <w:bookmarkStart w:id="453" w:name="_Toc336238871"/>
      <w:r>
        <w:rPr>
          <w:rFonts w:ascii="Times New Roman"/>
          <w:color w:val="000000" w:themeColor="text1"/>
        </w:rPr>
        <w:t>竞商文件的组成</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p>
    <w:p w14:paraId="6EE18F5E">
      <w:pPr>
        <w:numPr>
          <w:ilvl w:val="1"/>
          <w:numId w:val="1"/>
        </w:numPr>
        <w:spacing w:line="360" w:lineRule="auto"/>
        <w:ind w:left="-240" w:leftChars="0" w:firstLineChars="0"/>
        <w:rPr>
          <w:color w:val="000000" w:themeColor="text1"/>
        </w:rPr>
      </w:pPr>
      <w:r>
        <w:rPr>
          <w:color w:val="000000" w:themeColor="text1"/>
        </w:rPr>
        <w:t>竞商文件应包括下列部分：</w:t>
      </w:r>
    </w:p>
    <w:p w14:paraId="51E30A96">
      <w:pPr>
        <w:pStyle w:val="8"/>
        <w:numPr>
          <w:ilvl w:val="0"/>
          <w:numId w:val="8"/>
        </w:numPr>
        <w:spacing w:line="360" w:lineRule="auto"/>
        <w:ind w:left="851" w:hanging="284"/>
        <w:rPr>
          <w:color w:val="000000" w:themeColor="text1"/>
        </w:rPr>
      </w:pPr>
      <w:r>
        <w:rPr>
          <w:color w:val="000000" w:themeColor="text1"/>
        </w:rPr>
        <w:t>竞商申请函（格式见第六章竞商文件格式1）；</w:t>
      </w:r>
    </w:p>
    <w:p w14:paraId="1980DBF6">
      <w:pPr>
        <w:pStyle w:val="8"/>
        <w:numPr>
          <w:ilvl w:val="0"/>
          <w:numId w:val="8"/>
        </w:numPr>
        <w:spacing w:line="360" w:lineRule="auto"/>
        <w:ind w:left="851" w:hanging="284"/>
        <w:rPr>
          <w:color w:val="000000" w:themeColor="text1"/>
        </w:rPr>
      </w:pPr>
      <w:r>
        <w:rPr>
          <w:color w:val="000000" w:themeColor="text1"/>
        </w:rPr>
        <w:t>竞商报价函（格式见第六章竞商文件格式2）；</w:t>
      </w:r>
    </w:p>
    <w:p w14:paraId="21CDB29A">
      <w:pPr>
        <w:pStyle w:val="8"/>
        <w:numPr>
          <w:ilvl w:val="0"/>
          <w:numId w:val="8"/>
        </w:numPr>
        <w:spacing w:line="360" w:lineRule="auto"/>
        <w:ind w:left="851" w:hanging="284"/>
        <w:rPr>
          <w:color w:val="000000" w:themeColor="text1"/>
        </w:rPr>
      </w:pPr>
      <w:r>
        <w:rPr>
          <w:color w:val="000000" w:themeColor="text1"/>
        </w:rPr>
        <w:t>法定代表人证明书及法定代表人授权书（格式见第六章竞商文件格式3）；</w:t>
      </w:r>
    </w:p>
    <w:p w14:paraId="1205D8AB">
      <w:pPr>
        <w:pStyle w:val="8"/>
        <w:numPr>
          <w:ilvl w:val="0"/>
          <w:numId w:val="8"/>
        </w:numPr>
        <w:spacing w:line="360" w:lineRule="auto"/>
        <w:ind w:left="851" w:hanging="284"/>
        <w:rPr>
          <w:color w:val="000000" w:themeColor="text1"/>
        </w:rPr>
      </w:pPr>
      <w:r>
        <w:rPr>
          <w:color w:val="000000" w:themeColor="text1"/>
        </w:rPr>
        <w:t>竞商保证金（格式见第六章竞商文件格式</w:t>
      </w:r>
      <w:r>
        <w:rPr>
          <w:rFonts w:hint="eastAsia"/>
          <w:color w:val="000000" w:themeColor="text1"/>
        </w:rPr>
        <w:t>4，</w:t>
      </w:r>
      <w:r>
        <w:rPr>
          <w:color w:val="000000" w:themeColor="text1"/>
        </w:rPr>
        <w:t>须提供支付单据复印件，加盖公章）；</w:t>
      </w:r>
    </w:p>
    <w:p w14:paraId="254FFCEF">
      <w:pPr>
        <w:pStyle w:val="8"/>
        <w:numPr>
          <w:ilvl w:val="0"/>
          <w:numId w:val="8"/>
        </w:numPr>
        <w:spacing w:line="360" w:lineRule="auto"/>
        <w:ind w:left="851" w:hanging="284"/>
        <w:rPr>
          <w:color w:val="000000" w:themeColor="text1"/>
        </w:rPr>
      </w:pPr>
      <w:r>
        <w:rPr>
          <w:color w:val="000000" w:themeColor="text1"/>
        </w:rPr>
        <w:t>竞商人资格声明（格式见第六章竞商文件格式</w:t>
      </w:r>
      <w:r>
        <w:rPr>
          <w:rFonts w:hint="eastAsia"/>
          <w:color w:val="000000" w:themeColor="text1"/>
        </w:rPr>
        <w:t>5</w:t>
      </w:r>
      <w:r>
        <w:rPr>
          <w:color w:val="000000" w:themeColor="text1"/>
        </w:rPr>
        <w:t>）；</w:t>
      </w:r>
    </w:p>
    <w:p w14:paraId="3E9DF721">
      <w:pPr>
        <w:pStyle w:val="8"/>
        <w:numPr>
          <w:ilvl w:val="0"/>
          <w:numId w:val="8"/>
        </w:numPr>
        <w:spacing w:line="360" w:lineRule="auto"/>
        <w:ind w:left="851" w:hanging="284"/>
        <w:rPr>
          <w:color w:val="000000" w:themeColor="text1"/>
        </w:rPr>
      </w:pPr>
      <w:r>
        <w:rPr>
          <w:color w:val="000000" w:themeColor="text1"/>
        </w:rPr>
        <w:t>营业执照（须提供复印件，加盖公章）；</w:t>
      </w:r>
    </w:p>
    <w:p w14:paraId="099F5375">
      <w:pPr>
        <w:pStyle w:val="8"/>
        <w:numPr>
          <w:ilvl w:val="0"/>
          <w:numId w:val="8"/>
        </w:numPr>
        <w:spacing w:line="360" w:lineRule="auto"/>
        <w:ind w:left="851" w:hanging="284"/>
        <w:rPr>
          <w:color w:val="000000" w:themeColor="text1"/>
        </w:rPr>
      </w:pPr>
      <w:r>
        <w:rPr>
          <w:color w:val="000000" w:themeColor="text1"/>
        </w:rPr>
        <w:t>经有相应资质的第三方审计的</w:t>
      </w:r>
      <w:r>
        <w:rPr>
          <w:rFonts w:hint="eastAsia"/>
          <w:color w:val="000000" w:themeColor="text1"/>
        </w:rPr>
        <w:t>202</w:t>
      </w:r>
      <w:r>
        <w:rPr>
          <w:rFonts w:hint="eastAsia"/>
          <w:color w:val="000000" w:themeColor="text1"/>
          <w:lang w:val="en-US" w:eastAsia="zh-CN"/>
        </w:rPr>
        <w:t>3</w:t>
      </w:r>
      <w:r>
        <w:rPr>
          <w:rFonts w:hint="eastAsia"/>
          <w:color w:val="000000" w:themeColor="text1"/>
        </w:rPr>
        <w:t>、202</w:t>
      </w:r>
      <w:r>
        <w:rPr>
          <w:rFonts w:hint="eastAsia"/>
          <w:color w:val="000000" w:themeColor="text1"/>
          <w:lang w:val="en-US" w:eastAsia="zh-CN"/>
        </w:rPr>
        <w:t>4</w:t>
      </w:r>
      <w:r>
        <w:rPr>
          <w:rFonts w:hint="eastAsia"/>
          <w:color w:val="000000" w:themeColor="text1"/>
        </w:rPr>
        <w:t>年财务报告</w:t>
      </w:r>
      <w:r>
        <w:rPr>
          <w:color w:val="000000" w:themeColor="text1"/>
        </w:rPr>
        <w:t>（须提供复印件，加盖公章</w:t>
      </w:r>
      <w:r>
        <w:rPr>
          <w:rFonts w:hint="eastAsia"/>
          <w:color w:val="000000" w:themeColor="text1"/>
        </w:rPr>
        <w:t>）</w:t>
      </w:r>
    </w:p>
    <w:p w14:paraId="3136E2B6">
      <w:pPr>
        <w:pStyle w:val="8"/>
        <w:numPr>
          <w:ilvl w:val="0"/>
          <w:numId w:val="8"/>
        </w:numPr>
        <w:spacing w:line="360" w:lineRule="auto"/>
        <w:ind w:left="851" w:hanging="284"/>
        <w:rPr>
          <w:color w:val="000000" w:themeColor="text1"/>
        </w:rPr>
      </w:pPr>
      <w:r>
        <w:rPr>
          <w:color w:val="000000" w:themeColor="text1"/>
        </w:rPr>
        <w:t>履约证明（格式见第六章竞商文件格式</w:t>
      </w:r>
      <w:r>
        <w:rPr>
          <w:rFonts w:hint="eastAsia"/>
          <w:color w:val="000000" w:themeColor="text1"/>
        </w:rPr>
        <w:t>6</w:t>
      </w:r>
      <w:r>
        <w:rPr>
          <w:color w:val="000000" w:themeColor="text1"/>
        </w:rPr>
        <w:t>）</w:t>
      </w:r>
      <w:r>
        <w:rPr>
          <w:rFonts w:hint="eastAsia"/>
          <w:color w:val="000000" w:themeColor="text1"/>
        </w:rPr>
        <w:t>或合同</w:t>
      </w:r>
      <w:r>
        <w:rPr>
          <w:color w:val="000000" w:themeColor="text1"/>
        </w:rPr>
        <w:t>；</w:t>
      </w:r>
    </w:p>
    <w:p w14:paraId="4817D770">
      <w:pPr>
        <w:pStyle w:val="8"/>
        <w:numPr>
          <w:ilvl w:val="0"/>
          <w:numId w:val="8"/>
        </w:numPr>
        <w:spacing w:line="360" w:lineRule="auto"/>
        <w:ind w:left="567" w:firstLine="0"/>
        <w:rPr>
          <w:color w:val="000000" w:themeColor="text1"/>
        </w:rPr>
      </w:pPr>
      <w:r>
        <w:rPr>
          <w:color w:val="000000" w:themeColor="text1"/>
        </w:rPr>
        <w:t>项目经营方案（格式见第六章竞商文件格式</w:t>
      </w:r>
      <w:r>
        <w:rPr>
          <w:rFonts w:hint="eastAsia"/>
          <w:color w:val="000000" w:themeColor="text1"/>
        </w:rPr>
        <w:t>7</w:t>
      </w:r>
      <w:r>
        <w:rPr>
          <w:color w:val="000000" w:themeColor="text1"/>
        </w:rPr>
        <w:t>）；</w:t>
      </w:r>
    </w:p>
    <w:p w14:paraId="2581600C">
      <w:pPr>
        <w:pStyle w:val="8"/>
        <w:numPr>
          <w:ilvl w:val="0"/>
          <w:numId w:val="8"/>
        </w:numPr>
        <w:spacing w:line="360" w:lineRule="auto"/>
        <w:ind w:left="567" w:firstLine="0"/>
        <w:rPr>
          <w:color w:val="000000" w:themeColor="text1"/>
        </w:rPr>
      </w:pPr>
      <w:r>
        <w:rPr>
          <w:color w:val="000000" w:themeColor="text1"/>
        </w:rPr>
        <w:t>声明函（格式见第六章竞商文件格式</w:t>
      </w:r>
      <w:r>
        <w:rPr>
          <w:rFonts w:hint="eastAsia"/>
          <w:color w:val="000000" w:themeColor="text1"/>
        </w:rPr>
        <w:t>8</w:t>
      </w:r>
      <w:r>
        <w:rPr>
          <w:color w:val="000000" w:themeColor="text1"/>
        </w:rPr>
        <w:t>）；</w:t>
      </w:r>
    </w:p>
    <w:p w14:paraId="21FF6CC7">
      <w:pPr>
        <w:pStyle w:val="126"/>
        <w:numPr>
          <w:ilvl w:val="0"/>
          <w:numId w:val="8"/>
        </w:numPr>
        <w:spacing w:before="0" w:after="0" w:line="360" w:lineRule="auto"/>
        <w:ind w:left="987"/>
        <w:outlineLvl w:val="0"/>
        <w:rPr>
          <w:rFonts w:ascii="Times New Roman" w:eastAsia="宋体"/>
          <w:color w:val="000000" w:themeColor="text1"/>
          <w:sz w:val="24"/>
          <w:szCs w:val="20"/>
        </w:rPr>
      </w:pPr>
      <w:r>
        <w:rPr>
          <w:rFonts w:hint="eastAsia" w:ascii="Times New Roman" w:eastAsia="宋体"/>
          <w:color w:val="000000" w:themeColor="text1"/>
          <w:sz w:val="24"/>
          <w:szCs w:val="20"/>
        </w:rPr>
        <w:t>国家企业信用信息公示系统或“信用中国”网站或中国执行信息公开网查询结果</w:t>
      </w:r>
    </w:p>
    <w:p w14:paraId="5B575453">
      <w:pPr>
        <w:pStyle w:val="8"/>
        <w:numPr>
          <w:ilvl w:val="0"/>
          <w:numId w:val="8"/>
        </w:numPr>
        <w:spacing w:line="360" w:lineRule="auto"/>
        <w:ind w:left="851" w:hanging="284"/>
        <w:rPr>
          <w:color w:val="000000" w:themeColor="text1"/>
        </w:rPr>
      </w:pPr>
      <w:r>
        <w:rPr>
          <w:color w:val="000000" w:themeColor="text1"/>
        </w:rPr>
        <w:t>证明竞商人符合资格要求及竞商人认为有利于提高其竞商力的其他材料。</w:t>
      </w:r>
    </w:p>
    <w:p w14:paraId="7E4BB52C">
      <w:pPr>
        <w:pStyle w:val="117"/>
        <w:spacing w:line="360" w:lineRule="auto"/>
        <w:rPr>
          <w:color w:val="000000" w:themeColor="text1"/>
          <w:sz w:val="24"/>
          <w:szCs w:val="20"/>
        </w:rPr>
      </w:pPr>
      <w:r>
        <w:rPr>
          <w:color w:val="000000" w:themeColor="text1"/>
          <w:sz w:val="24"/>
          <w:szCs w:val="20"/>
        </w:rPr>
        <w:t>注：</w:t>
      </w:r>
      <w:r>
        <w:rPr>
          <w:rFonts w:hint="eastAsia"/>
          <w:color w:val="000000" w:themeColor="text1"/>
          <w:sz w:val="24"/>
          <w:szCs w:val="20"/>
        </w:rPr>
        <w:t>除</w:t>
      </w:r>
      <w:r>
        <w:rPr>
          <w:color w:val="000000" w:themeColor="text1"/>
          <w:sz w:val="24"/>
          <w:szCs w:val="20"/>
        </w:rPr>
        <w:t>以上</w:t>
      </w:r>
      <w:r>
        <w:rPr>
          <w:rFonts w:hint="eastAsia"/>
          <w:color w:val="000000" w:themeColor="text1"/>
          <w:sz w:val="24"/>
          <w:szCs w:val="20"/>
        </w:rPr>
        <w:t>第</w:t>
      </w:r>
      <w:r>
        <w:rPr>
          <w:color w:val="000000" w:themeColor="text1"/>
          <w:sz w:val="24"/>
          <w:szCs w:val="20"/>
        </w:rPr>
        <w:t>1）</w:t>
      </w:r>
      <w:r>
        <w:rPr>
          <w:rFonts w:hint="eastAsia"/>
          <w:color w:val="000000" w:themeColor="text1"/>
          <w:sz w:val="24"/>
          <w:szCs w:val="20"/>
        </w:rPr>
        <w:t>项</w:t>
      </w:r>
      <w:r>
        <w:rPr>
          <w:color w:val="000000" w:themeColor="text1"/>
          <w:sz w:val="24"/>
          <w:szCs w:val="20"/>
        </w:rPr>
        <w:t>、</w:t>
      </w:r>
      <w:r>
        <w:rPr>
          <w:rFonts w:hint="eastAsia"/>
          <w:color w:val="000000" w:themeColor="text1"/>
          <w:sz w:val="24"/>
          <w:szCs w:val="20"/>
        </w:rPr>
        <w:t>第</w:t>
      </w:r>
      <w:r>
        <w:rPr>
          <w:color w:val="000000" w:themeColor="text1"/>
          <w:sz w:val="24"/>
          <w:szCs w:val="20"/>
        </w:rPr>
        <w:t>2）</w:t>
      </w:r>
      <w:r>
        <w:rPr>
          <w:rFonts w:hint="eastAsia"/>
          <w:color w:val="000000" w:themeColor="text1"/>
          <w:sz w:val="24"/>
          <w:szCs w:val="20"/>
        </w:rPr>
        <w:t>项</w:t>
      </w:r>
      <w:r>
        <w:rPr>
          <w:color w:val="000000" w:themeColor="text1"/>
          <w:sz w:val="24"/>
          <w:szCs w:val="20"/>
        </w:rPr>
        <w:t>、</w:t>
      </w:r>
      <w:r>
        <w:rPr>
          <w:rFonts w:hint="eastAsia"/>
          <w:color w:val="000000" w:themeColor="text1"/>
          <w:sz w:val="24"/>
          <w:szCs w:val="20"/>
        </w:rPr>
        <w:t>第</w:t>
      </w:r>
      <w:r>
        <w:rPr>
          <w:color w:val="000000" w:themeColor="text1"/>
          <w:sz w:val="24"/>
          <w:szCs w:val="20"/>
        </w:rPr>
        <w:t>1</w:t>
      </w:r>
      <w:r>
        <w:rPr>
          <w:rFonts w:hint="eastAsia"/>
          <w:color w:val="000000" w:themeColor="text1"/>
          <w:sz w:val="24"/>
          <w:szCs w:val="20"/>
        </w:rPr>
        <w:t>0</w:t>
      </w:r>
      <w:r>
        <w:rPr>
          <w:color w:val="000000" w:themeColor="text1"/>
          <w:sz w:val="24"/>
          <w:szCs w:val="20"/>
        </w:rPr>
        <w:t>）</w:t>
      </w:r>
      <w:r>
        <w:rPr>
          <w:rFonts w:hint="eastAsia"/>
          <w:color w:val="000000" w:themeColor="text1"/>
          <w:sz w:val="24"/>
          <w:szCs w:val="20"/>
        </w:rPr>
        <w:t>项及第</w:t>
      </w:r>
      <w:r>
        <w:rPr>
          <w:color w:val="000000" w:themeColor="text1"/>
          <w:sz w:val="24"/>
          <w:szCs w:val="20"/>
        </w:rPr>
        <w:t>1</w:t>
      </w:r>
      <w:r>
        <w:rPr>
          <w:rFonts w:hint="eastAsia"/>
          <w:color w:val="000000" w:themeColor="text1"/>
          <w:sz w:val="24"/>
          <w:szCs w:val="20"/>
        </w:rPr>
        <w:t>1</w:t>
      </w:r>
      <w:r>
        <w:rPr>
          <w:color w:val="000000" w:themeColor="text1"/>
          <w:sz w:val="24"/>
          <w:szCs w:val="20"/>
        </w:rPr>
        <w:t>）</w:t>
      </w:r>
      <w:r>
        <w:rPr>
          <w:rFonts w:hint="eastAsia"/>
          <w:color w:val="000000" w:themeColor="text1"/>
          <w:sz w:val="24"/>
          <w:szCs w:val="20"/>
        </w:rPr>
        <w:t>项外</w:t>
      </w:r>
      <w:r>
        <w:rPr>
          <w:color w:val="000000" w:themeColor="text1"/>
          <w:sz w:val="24"/>
          <w:szCs w:val="20"/>
        </w:rPr>
        <w:t>，其余文件的编制应提供相关证明。未提供证明文件的，将可能被</w:t>
      </w:r>
      <w:r>
        <w:rPr>
          <w:rFonts w:hint="eastAsia"/>
          <w:color w:val="000000" w:themeColor="text1"/>
          <w:sz w:val="24"/>
          <w:szCs w:val="20"/>
        </w:rPr>
        <w:t>评审小组</w:t>
      </w:r>
      <w:r>
        <w:rPr>
          <w:color w:val="000000" w:themeColor="text1"/>
          <w:sz w:val="24"/>
          <w:szCs w:val="20"/>
        </w:rPr>
        <w:t>作出不利的评估。</w:t>
      </w:r>
    </w:p>
    <w:p w14:paraId="31486A8E">
      <w:pPr>
        <w:numPr>
          <w:ilvl w:val="1"/>
          <w:numId w:val="1"/>
        </w:numPr>
        <w:spacing w:line="360" w:lineRule="auto"/>
        <w:ind w:left="-240" w:leftChars="0" w:firstLineChars="0"/>
        <w:rPr>
          <w:color w:val="000000" w:themeColor="text1"/>
        </w:rPr>
      </w:pPr>
      <w:r>
        <w:rPr>
          <w:color w:val="000000" w:themeColor="text1"/>
        </w:rPr>
        <w:t>竞商文件应编排有序、装订成册，并附有索引目录。</w:t>
      </w:r>
    </w:p>
    <w:p w14:paraId="73C3E5B7">
      <w:pPr>
        <w:numPr>
          <w:ilvl w:val="1"/>
          <w:numId w:val="1"/>
        </w:numPr>
        <w:spacing w:line="360" w:lineRule="auto"/>
        <w:ind w:left="-240" w:leftChars="0" w:firstLineChars="0"/>
        <w:rPr>
          <w:color w:val="000000" w:themeColor="text1"/>
        </w:rPr>
      </w:pPr>
      <w:bookmarkStart w:id="454" w:name="_Toc66355892"/>
      <w:bookmarkStart w:id="455" w:name="_Toc66355963"/>
      <w:bookmarkStart w:id="456" w:name="_Toc53100467"/>
      <w:bookmarkStart w:id="457" w:name="_Toc53100387"/>
      <w:bookmarkStart w:id="458" w:name="_Toc52930765"/>
      <w:bookmarkStart w:id="459" w:name="_Toc51494264"/>
      <w:bookmarkStart w:id="460" w:name="_Toc51493886"/>
      <w:bookmarkStart w:id="461" w:name="_Toc60191130"/>
      <w:r>
        <w:rPr>
          <w:color w:val="000000" w:themeColor="text1"/>
        </w:rPr>
        <w:t>凡是在招商文件中附有格式的文件，竞商人均应按要求的格式进行编制。</w:t>
      </w:r>
    </w:p>
    <w:p w14:paraId="2B8A1EDD">
      <w:pPr>
        <w:numPr>
          <w:ilvl w:val="1"/>
          <w:numId w:val="1"/>
        </w:numPr>
        <w:spacing w:line="360" w:lineRule="auto"/>
        <w:ind w:left="-240" w:leftChars="0" w:firstLineChars="0"/>
        <w:rPr>
          <w:color w:val="000000" w:themeColor="text1"/>
        </w:rPr>
      </w:pPr>
      <w:r>
        <w:rPr>
          <w:color w:val="000000" w:themeColor="text1"/>
        </w:rPr>
        <w:t>竞商人应提供载有全部竞商文件内容的电子文件U盘一份，文字内容应以WORD格式、图片以JPEG格式提供，该U盘的密封、标记和发送应符合本须知第</w:t>
      </w:r>
      <w:r>
        <w:fldChar w:fldCharType="begin"/>
      </w:r>
      <w:r>
        <w:instrText xml:space="preserve"> REF _Ref51333958 \r \h  \* MERGEFORMAT </w:instrText>
      </w:r>
      <w:r>
        <w:fldChar w:fldCharType="separate"/>
      </w:r>
      <w:r>
        <w:rPr>
          <w:color w:val="000000" w:themeColor="text1"/>
        </w:rPr>
        <w:t>15</w:t>
      </w:r>
      <w:r>
        <w:rPr>
          <w:color w:val="000000" w:themeColor="text1"/>
        </w:rPr>
        <w:fldChar w:fldCharType="end"/>
      </w:r>
      <w:r>
        <w:rPr>
          <w:color w:val="000000" w:themeColor="text1"/>
        </w:rPr>
        <w:t>条的规定。</w:t>
      </w:r>
    </w:p>
    <w:p w14:paraId="3D9FAEAB">
      <w:pPr>
        <w:pStyle w:val="2"/>
        <w:spacing w:before="0" w:after="0" w:line="360" w:lineRule="auto"/>
        <w:rPr>
          <w:rFonts w:ascii="Times New Roman"/>
          <w:color w:val="000000" w:themeColor="text1"/>
        </w:rPr>
      </w:pPr>
      <w:bookmarkStart w:id="462" w:name="_Toc283735881"/>
      <w:bookmarkStart w:id="463" w:name="_Toc434897297"/>
      <w:bookmarkStart w:id="464" w:name="_Toc199062639"/>
      <w:bookmarkStart w:id="465" w:name="_Toc3718070"/>
      <w:bookmarkStart w:id="466" w:name="_Toc199046081"/>
      <w:bookmarkStart w:id="467" w:name="_Toc2046543"/>
      <w:bookmarkStart w:id="468" w:name="_Toc139442355"/>
      <w:bookmarkStart w:id="469" w:name="_Toc213520735"/>
      <w:bookmarkStart w:id="470" w:name="_Toc187552386"/>
      <w:bookmarkStart w:id="471" w:name="_Toc452800688"/>
      <w:bookmarkStart w:id="472" w:name="_Toc452727303"/>
      <w:bookmarkStart w:id="473" w:name="_Toc8429"/>
      <w:bookmarkStart w:id="474" w:name="_Toc282417433"/>
      <w:bookmarkStart w:id="475" w:name="_Toc77318581"/>
      <w:bookmarkStart w:id="476" w:name="_Toc283892544"/>
      <w:bookmarkStart w:id="477" w:name="_Toc354606464"/>
      <w:bookmarkStart w:id="478" w:name="_Ref434418122"/>
      <w:bookmarkStart w:id="479" w:name="_Toc434462183"/>
      <w:bookmarkStart w:id="480" w:name="_Toc199045688"/>
      <w:bookmarkStart w:id="481" w:name="_Toc355702875"/>
      <w:bookmarkStart w:id="482" w:name="_Toc336238872"/>
      <w:bookmarkStart w:id="483" w:name="_Toc283376825"/>
      <w:bookmarkStart w:id="484" w:name="_Toc339016042"/>
      <w:bookmarkStart w:id="485" w:name="_Toc434462794"/>
      <w:bookmarkStart w:id="486" w:name="_Toc150048855"/>
      <w:bookmarkStart w:id="487" w:name="_Toc213155140"/>
      <w:bookmarkStart w:id="488" w:name="_Toc283490376"/>
      <w:bookmarkStart w:id="489" w:name="_Toc140256082"/>
      <w:bookmarkStart w:id="490" w:name="_Toc3718207"/>
      <w:bookmarkStart w:id="491" w:name="_Toc452306101"/>
      <w:bookmarkStart w:id="492" w:name="_Toc452726943"/>
      <w:bookmarkStart w:id="493" w:name="_Toc257903071"/>
      <w:bookmarkStart w:id="494" w:name="_Toc282703508"/>
      <w:bookmarkStart w:id="495" w:name="_Toc338851123"/>
      <w:bookmarkStart w:id="496" w:name="_Toc283624767"/>
      <w:bookmarkStart w:id="497" w:name="_Toc336241636"/>
      <w:bookmarkStart w:id="498" w:name="_Toc354606553"/>
      <w:bookmarkStart w:id="499" w:name="_Toc213516174"/>
      <w:bookmarkStart w:id="500" w:name="_Toc336245473"/>
      <w:r>
        <w:rPr>
          <w:rFonts w:ascii="Times New Roman"/>
          <w:color w:val="000000" w:themeColor="text1"/>
        </w:rPr>
        <w:t>竞商报价</w:t>
      </w:r>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p>
    <w:p w14:paraId="4DC5E40C">
      <w:pPr>
        <w:spacing w:line="360" w:lineRule="auto"/>
        <w:ind w:firstLine="480" w:firstLineChars="200"/>
        <w:rPr>
          <w:color w:val="000000" w:themeColor="text1"/>
        </w:rPr>
      </w:pPr>
      <w:bookmarkStart w:id="501" w:name="_Ref147293241"/>
      <w:bookmarkStart w:id="502" w:name="_Ref434456144"/>
      <w:r>
        <w:rPr>
          <w:color w:val="000000" w:themeColor="text1"/>
        </w:rPr>
        <w:t>竞商报价为</w:t>
      </w:r>
      <w:r>
        <w:rPr>
          <w:rFonts w:hint="eastAsia"/>
          <w:color w:val="000000" w:themeColor="text1"/>
        </w:rPr>
        <w:t>选定运营商</w:t>
      </w:r>
      <w:r>
        <w:rPr>
          <w:color w:val="000000" w:themeColor="text1"/>
        </w:rPr>
        <w:t>后承担本项目</w:t>
      </w:r>
      <w:r>
        <w:rPr>
          <w:rFonts w:hint="eastAsia"/>
          <w:color w:val="000000" w:themeColor="text1"/>
        </w:rPr>
        <w:t>客站商业</w:t>
      </w:r>
      <w:r>
        <w:rPr>
          <w:color w:val="000000" w:themeColor="text1"/>
        </w:rPr>
        <w:t>经营的</w:t>
      </w:r>
      <w:r>
        <w:rPr>
          <w:rFonts w:hint="eastAsia"/>
          <w:color w:val="000000" w:themeColor="text1"/>
        </w:rPr>
        <w:t>价格主体</w:t>
      </w:r>
      <w:r>
        <w:rPr>
          <w:color w:val="000000" w:themeColor="text1"/>
        </w:rPr>
        <w:t>。竞商人应根据本招商文件规定要求进行竞商报价，报价的任何缺漏项或单位错误都是竞商人自身的风险，招商</w:t>
      </w:r>
      <w:r>
        <w:rPr>
          <w:rFonts w:hint="eastAsia"/>
          <w:color w:val="000000" w:themeColor="text1"/>
        </w:rPr>
        <w:t>人</w:t>
      </w:r>
      <w:r>
        <w:rPr>
          <w:color w:val="000000" w:themeColor="text1"/>
        </w:rPr>
        <w:t>不会因此调整合同价。无论竞商报价函中是否存在错漏，一旦签订合同，竞商人须</w:t>
      </w:r>
      <w:bookmarkEnd w:id="501"/>
      <w:bookmarkEnd w:id="502"/>
      <w:r>
        <w:rPr>
          <w:rFonts w:hint="eastAsia"/>
          <w:color w:val="000000" w:themeColor="text1"/>
        </w:rPr>
        <w:t>履行合同义务</w:t>
      </w:r>
      <w:r>
        <w:rPr>
          <w:color w:val="000000" w:themeColor="text1"/>
        </w:rPr>
        <w:t>。</w:t>
      </w:r>
      <w:r>
        <w:rPr>
          <w:rFonts w:hint="eastAsia"/>
          <w:color w:val="000000" w:themeColor="text1"/>
        </w:rPr>
        <w:t>固定综合单价报价不低于招商公布的底价,否则视为废标。固定综合单价年递增比例为</w:t>
      </w:r>
      <w:bookmarkStart w:id="503" w:name="OLE_LINK38"/>
      <w:bookmarkStart w:id="504" w:name="OLE_LINK39"/>
      <w:r>
        <w:rPr>
          <w:rFonts w:hint="eastAsia"/>
          <w:color w:val="000000" w:themeColor="text1"/>
        </w:rPr>
        <w:t>2%、3%、4%、5%（由竞商人竞商人根据竞商实际自行决定）</w:t>
      </w:r>
      <w:bookmarkEnd w:id="503"/>
      <w:bookmarkEnd w:id="504"/>
      <w:r>
        <w:rPr>
          <w:rFonts w:hint="eastAsia"/>
          <w:color w:val="000000" w:themeColor="text1"/>
        </w:rPr>
        <w:t>,未按招商人商务条款的</w:t>
      </w:r>
      <w:r>
        <w:rPr>
          <w:color w:val="000000" w:themeColor="text1"/>
        </w:rPr>
        <w:t>将不予接受</w:t>
      </w:r>
      <w:r>
        <w:rPr>
          <w:rFonts w:hint="eastAsia"/>
          <w:color w:val="000000" w:themeColor="text1"/>
        </w:rPr>
        <w:t>。</w:t>
      </w:r>
    </w:p>
    <w:bookmarkEnd w:id="454"/>
    <w:bookmarkEnd w:id="455"/>
    <w:bookmarkEnd w:id="456"/>
    <w:bookmarkEnd w:id="457"/>
    <w:bookmarkEnd w:id="458"/>
    <w:bookmarkEnd w:id="459"/>
    <w:bookmarkEnd w:id="460"/>
    <w:bookmarkEnd w:id="461"/>
    <w:p w14:paraId="296CED5B">
      <w:pPr>
        <w:pStyle w:val="2"/>
        <w:spacing w:before="0" w:after="0" w:line="360" w:lineRule="auto"/>
        <w:rPr>
          <w:rFonts w:ascii="Times New Roman"/>
          <w:color w:val="000000" w:themeColor="text1"/>
        </w:rPr>
      </w:pPr>
      <w:bookmarkStart w:id="505" w:name="_Toc357167802"/>
      <w:bookmarkEnd w:id="505"/>
      <w:bookmarkStart w:id="506" w:name="_Toc357809933"/>
      <w:bookmarkEnd w:id="506"/>
      <w:bookmarkStart w:id="507" w:name="_Toc357809934"/>
      <w:bookmarkEnd w:id="507"/>
      <w:bookmarkStart w:id="508" w:name="_Toc357809932"/>
      <w:bookmarkEnd w:id="508"/>
      <w:bookmarkStart w:id="509" w:name="_Toc336241637"/>
      <w:bookmarkStart w:id="510" w:name="_Toc18859"/>
      <w:bookmarkStart w:id="511" w:name="_Toc283490377"/>
      <w:bookmarkStart w:id="512" w:name="_Toc53100468"/>
      <w:bookmarkStart w:id="513" w:name="_Toc338851124"/>
      <w:bookmarkStart w:id="514" w:name="_Toc283376826"/>
      <w:bookmarkStart w:id="515" w:name="_Toc51493887"/>
      <w:bookmarkStart w:id="516" w:name="_Toc339016043"/>
      <w:bookmarkStart w:id="517" w:name="_Toc77318582"/>
      <w:bookmarkStart w:id="518" w:name="_Toc355702876"/>
      <w:bookmarkStart w:id="519" w:name="_Toc213155141"/>
      <w:bookmarkStart w:id="520" w:name="_Toc66355893"/>
      <w:bookmarkStart w:id="521" w:name="_Toc354606554"/>
      <w:bookmarkStart w:id="522" w:name="_Toc52930766"/>
      <w:bookmarkStart w:id="523" w:name="_Toc66355964"/>
      <w:bookmarkStart w:id="524" w:name="_Toc283624768"/>
      <w:bookmarkStart w:id="525" w:name="_Toc282703509"/>
      <w:bookmarkStart w:id="526" w:name="_Toc213520736"/>
      <w:bookmarkStart w:id="527" w:name="_Ref51334367"/>
      <w:bookmarkStart w:id="528" w:name="_Toc53100388"/>
      <w:bookmarkStart w:id="529" w:name="_Toc51494265"/>
      <w:bookmarkStart w:id="530" w:name="_Toc336245474"/>
      <w:bookmarkStart w:id="531" w:name="_Toc60191131"/>
      <w:bookmarkStart w:id="532" w:name="_Toc283892545"/>
      <w:bookmarkStart w:id="533" w:name="_Toc283735882"/>
      <w:bookmarkStart w:id="534" w:name="_Toc257903072"/>
      <w:bookmarkStart w:id="535" w:name="_Toc282417434"/>
      <w:bookmarkStart w:id="536" w:name="_Toc213516175"/>
      <w:bookmarkStart w:id="537" w:name="_Toc336238873"/>
      <w:bookmarkStart w:id="538" w:name="_Toc354606465"/>
      <w:r>
        <w:rPr>
          <w:rFonts w:ascii="Times New Roman"/>
          <w:color w:val="000000" w:themeColor="text1"/>
        </w:rPr>
        <w:t>竞商有效期</w:t>
      </w:r>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Start w:id="539" w:name="_Ref452638201"/>
    </w:p>
    <w:p w14:paraId="38FBB433">
      <w:pPr>
        <w:numPr>
          <w:ilvl w:val="1"/>
          <w:numId w:val="1"/>
        </w:numPr>
        <w:spacing w:line="360" w:lineRule="auto"/>
        <w:ind w:left="-240" w:leftChars="0" w:firstLineChars="0"/>
        <w:rPr>
          <w:color w:val="000000" w:themeColor="text1"/>
        </w:rPr>
      </w:pPr>
      <w:bookmarkStart w:id="540" w:name="_Ref67308448"/>
      <w:r>
        <w:rPr>
          <w:color w:val="000000" w:themeColor="text1"/>
        </w:rPr>
        <w:t>竞商人的竞商文件应从竞商截止时间起的</w:t>
      </w:r>
      <w:r>
        <w:rPr>
          <w:rFonts w:hint="eastAsia"/>
          <w:b/>
          <w:color w:val="000000" w:themeColor="text1"/>
        </w:rPr>
        <w:t>120</w:t>
      </w:r>
      <w:r>
        <w:rPr>
          <w:color w:val="000000" w:themeColor="text1"/>
        </w:rPr>
        <w:t>天内保持有效。竞商人在竞商函中承诺的竞商有效期比规定的竞商有效期短的，将视为非响应性竞商而予以否决。</w:t>
      </w:r>
      <w:bookmarkEnd w:id="539"/>
      <w:bookmarkEnd w:id="540"/>
      <w:bookmarkStart w:id="541" w:name="_Ref51307048"/>
    </w:p>
    <w:p w14:paraId="2FC0E368">
      <w:pPr>
        <w:numPr>
          <w:ilvl w:val="1"/>
          <w:numId w:val="1"/>
        </w:numPr>
        <w:spacing w:line="360" w:lineRule="auto"/>
        <w:ind w:left="-240" w:leftChars="0" w:firstLineChars="0"/>
        <w:rPr>
          <w:color w:val="000000" w:themeColor="text1"/>
        </w:rPr>
      </w:pPr>
      <w:bookmarkStart w:id="542" w:name="_Ref67308458"/>
      <w:r>
        <w:rPr>
          <w:color w:val="000000" w:themeColor="text1"/>
        </w:rPr>
        <w:t>在特殊情况下，在竞商有效期届满之前，招商</w:t>
      </w:r>
      <w:r>
        <w:rPr>
          <w:rFonts w:hint="eastAsia"/>
          <w:color w:val="000000" w:themeColor="text1"/>
        </w:rPr>
        <w:t>人</w:t>
      </w:r>
      <w:r>
        <w:rPr>
          <w:color w:val="000000" w:themeColor="text1"/>
        </w:rPr>
        <w:t>可要求竞商人同意延长有效期，要求与答复均应以书面形式，竞商人可以拒绝上述要求而其竞商保证金仍将予以退还。对于同意该要求的竞商方，既不要求也不允许其修改竞商文件，但将要求其相应延长竞商保证金的有效期。有关退还和不予退还竞商保证金的规定在竞商有效期的延长期内继续有效。</w:t>
      </w:r>
      <w:bookmarkEnd w:id="541"/>
      <w:bookmarkEnd w:id="542"/>
    </w:p>
    <w:p w14:paraId="180177D6">
      <w:pPr>
        <w:pStyle w:val="2"/>
        <w:spacing w:before="0" w:after="0" w:line="360" w:lineRule="auto"/>
        <w:rPr>
          <w:rFonts w:ascii="Times New Roman"/>
          <w:color w:val="000000" w:themeColor="text1"/>
        </w:rPr>
      </w:pPr>
      <w:bookmarkStart w:id="543" w:name="_Toc354606555"/>
      <w:bookmarkStart w:id="544" w:name="_Toc52930767"/>
      <w:bookmarkStart w:id="545" w:name="_Toc339016044"/>
      <w:bookmarkStart w:id="546" w:name="_Toc51493888"/>
      <w:bookmarkStart w:id="547" w:name="_Toc66355965"/>
      <w:bookmarkStart w:id="548" w:name="_Toc77318583"/>
      <w:bookmarkStart w:id="549" w:name="_Toc336238874"/>
      <w:bookmarkStart w:id="550" w:name="_Toc338851125"/>
      <w:bookmarkStart w:id="551" w:name="_Toc51494266"/>
      <w:bookmarkStart w:id="552" w:name="_Toc60191132"/>
      <w:bookmarkStart w:id="553" w:name="_Toc336245475"/>
      <w:bookmarkStart w:id="554" w:name="_Toc213155142"/>
      <w:bookmarkStart w:id="555" w:name="_Toc257903073"/>
      <w:bookmarkStart w:id="556" w:name="_Toc283490378"/>
      <w:bookmarkStart w:id="557" w:name="_Toc283735883"/>
      <w:bookmarkStart w:id="558" w:name="_Toc282703510"/>
      <w:bookmarkStart w:id="559" w:name="_Toc213516176"/>
      <w:bookmarkStart w:id="560" w:name="_Toc355702877"/>
      <w:bookmarkStart w:id="561" w:name="_Toc53100389"/>
      <w:bookmarkStart w:id="562" w:name="_Toc283624769"/>
      <w:bookmarkStart w:id="563" w:name="_Toc53100469"/>
      <w:bookmarkStart w:id="564" w:name="_Toc336241638"/>
      <w:bookmarkStart w:id="565" w:name="_Toc27199"/>
      <w:bookmarkStart w:id="566" w:name="_Toc66355894"/>
      <w:bookmarkStart w:id="567" w:name="_Toc283892546"/>
      <w:bookmarkStart w:id="568" w:name="_Toc282417435"/>
      <w:bookmarkStart w:id="569" w:name="_Toc283376827"/>
      <w:bookmarkStart w:id="570" w:name="_Toc213520737"/>
      <w:bookmarkStart w:id="571" w:name="_Toc354606466"/>
      <w:r>
        <w:rPr>
          <w:rFonts w:ascii="Times New Roman"/>
          <w:color w:val="000000" w:themeColor="text1"/>
        </w:rPr>
        <w:t>竞商保证金</w:t>
      </w:r>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14:paraId="15812B32">
      <w:pPr>
        <w:numPr>
          <w:ilvl w:val="1"/>
          <w:numId w:val="1"/>
        </w:numPr>
        <w:spacing w:line="360" w:lineRule="auto"/>
        <w:ind w:left="-240" w:leftChars="0" w:firstLineChars="0"/>
        <w:rPr>
          <w:color w:val="000000" w:themeColor="text1"/>
        </w:rPr>
      </w:pPr>
      <w:r>
        <w:rPr>
          <w:color w:val="000000" w:themeColor="text1"/>
        </w:rPr>
        <w:t>竞商人在递交竞商文件的同时应随</w:t>
      </w:r>
      <w:r>
        <w:rPr>
          <w:color w:val="auto"/>
        </w:rPr>
        <w:t>附规定的竞商保证金</w:t>
      </w:r>
      <w:r>
        <w:rPr>
          <w:rFonts w:hint="eastAsia"/>
          <w:color w:val="auto"/>
        </w:rPr>
        <w:t>缴纳凭证</w:t>
      </w:r>
      <w:r>
        <w:rPr>
          <w:color w:val="auto"/>
        </w:rPr>
        <w:t>，并作为其竞商文件的一部分。</w:t>
      </w:r>
      <w:bookmarkStart w:id="572" w:name="_Ref51392584"/>
      <w:r>
        <w:rPr>
          <w:color w:val="auto"/>
        </w:rPr>
        <w:t>竞商保证金</w:t>
      </w:r>
      <w:r>
        <w:rPr>
          <w:rFonts w:hint="eastAsia"/>
          <w:color w:val="auto"/>
        </w:rPr>
        <w:t>金额按招商公告中所</w:t>
      </w:r>
      <w:r>
        <w:rPr>
          <w:rFonts w:hint="eastAsia"/>
          <w:color w:val="auto"/>
          <w:highlight w:val="none"/>
        </w:rPr>
        <w:t>列金额</w:t>
      </w:r>
      <w:r>
        <w:rPr>
          <w:color w:val="auto"/>
          <w:highlight w:val="none"/>
        </w:rPr>
        <w:t>，</w:t>
      </w:r>
      <w:r>
        <w:rPr>
          <w:rFonts w:hint="eastAsia"/>
          <w:color w:val="auto"/>
          <w:highlight w:val="none"/>
        </w:rPr>
        <w:t>于</w:t>
      </w:r>
      <w:r>
        <w:rPr>
          <w:rFonts w:hint="eastAsia"/>
          <w:color w:val="auto"/>
          <w:highlight w:val="none"/>
          <w:lang w:val="en-US" w:eastAsia="zh-CN"/>
        </w:rPr>
        <w:t>2025</w:t>
      </w:r>
      <w:r>
        <w:rPr>
          <w:rFonts w:hint="eastAsia"/>
          <w:color w:val="auto"/>
          <w:highlight w:val="none"/>
        </w:rPr>
        <w:t>年</w:t>
      </w:r>
      <w:r>
        <w:rPr>
          <w:rFonts w:hint="eastAsia"/>
          <w:color w:val="auto"/>
          <w:highlight w:val="none"/>
          <w:lang w:val="en-US" w:eastAsia="zh-CN"/>
        </w:rPr>
        <w:t>10</w:t>
      </w:r>
      <w:r>
        <w:rPr>
          <w:rFonts w:hint="eastAsia"/>
          <w:color w:val="auto"/>
          <w:highlight w:val="none"/>
        </w:rPr>
        <w:t>月</w:t>
      </w:r>
      <w:r>
        <w:rPr>
          <w:rFonts w:hint="eastAsia"/>
          <w:color w:val="auto"/>
          <w:highlight w:val="none"/>
          <w:lang w:val="en-US" w:eastAsia="zh-CN"/>
        </w:rPr>
        <w:t>11</w:t>
      </w:r>
      <w:r>
        <w:rPr>
          <w:rFonts w:hint="eastAsia"/>
          <w:color w:val="auto"/>
          <w:highlight w:val="none"/>
        </w:rPr>
        <w:t>日</w:t>
      </w:r>
      <w:r>
        <w:rPr>
          <w:rFonts w:hint="eastAsia"/>
          <w:color w:val="auto"/>
          <w:highlight w:val="none"/>
          <w:lang w:val="en-US" w:eastAsia="zh-CN"/>
        </w:rPr>
        <w:t>17</w:t>
      </w:r>
      <w:r>
        <w:rPr>
          <w:color w:val="auto"/>
          <w:highlight w:val="none"/>
        </w:rPr>
        <w:t>:</w:t>
      </w:r>
      <w:r>
        <w:rPr>
          <w:rFonts w:hint="eastAsia"/>
          <w:color w:val="auto"/>
          <w:highlight w:val="none"/>
          <w:lang w:val="en-US" w:eastAsia="zh-CN"/>
        </w:rPr>
        <w:t>00</w:t>
      </w:r>
      <w:r>
        <w:rPr>
          <w:rFonts w:hint="eastAsia"/>
          <w:color w:val="auto"/>
          <w:highlight w:val="none"/>
        </w:rPr>
        <w:t>时（北</w:t>
      </w:r>
      <w:r>
        <w:rPr>
          <w:rFonts w:hint="eastAsia"/>
          <w:color w:val="auto"/>
        </w:rPr>
        <w:t>京</w:t>
      </w:r>
      <w:r>
        <w:rPr>
          <w:rFonts w:hint="eastAsia"/>
          <w:color w:val="000000" w:themeColor="text1"/>
        </w:rPr>
        <w:t>时间）前以竞商人账户支付至招商人账户。</w:t>
      </w:r>
    </w:p>
    <w:bookmarkEnd w:id="572"/>
    <w:p w14:paraId="5E1D4BE1">
      <w:pPr>
        <w:numPr>
          <w:ilvl w:val="1"/>
          <w:numId w:val="1"/>
        </w:numPr>
        <w:spacing w:line="360" w:lineRule="auto"/>
        <w:ind w:left="-240" w:leftChars="0" w:firstLineChars="0"/>
        <w:rPr>
          <w:color w:val="000000" w:themeColor="text1"/>
        </w:rPr>
      </w:pPr>
      <w:r>
        <w:rPr>
          <w:color w:val="000000" w:themeColor="text1"/>
        </w:rPr>
        <w:t>根据本须知第</w:t>
      </w:r>
      <w:r>
        <w:fldChar w:fldCharType="begin"/>
      </w:r>
      <w:r>
        <w:instrText xml:space="preserve"> REF _Ref67308458 \r \h  \* MERGEFORMAT </w:instrText>
      </w:r>
      <w:r>
        <w:fldChar w:fldCharType="separate"/>
      </w:r>
      <w:r>
        <w:rPr>
          <w:color w:val="000000" w:themeColor="text1"/>
        </w:rPr>
        <w:t>12.2</w:t>
      </w:r>
      <w:r>
        <w:rPr>
          <w:color w:val="000000" w:themeColor="text1"/>
        </w:rPr>
        <w:fldChar w:fldCharType="end"/>
      </w:r>
      <w:r>
        <w:rPr>
          <w:color w:val="000000" w:themeColor="text1"/>
        </w:rPr>
        <w:t>条的规定，竞商人如果同意延长其竞商有效期，则应对其竞商保证金的有效期作同步延长。</w:t>
      </w:r>
    </w:p>
    <w:p w14:paraId="583E9DF2">
      <w:pPr>
        <w:numPr>
          <w:ilvl w:val="1"/>
          <w:numId w:val="1"/>
        </w:numPr>
        <w:spacing w:line="360" w:lineRule="auto"/>
        <w:ind w:left="-240" w:leftChars="0" w:firstLineChars="0"/>
        <w:rPr>
          <w:color w:val="000000" w:themeColor="text1"/>
        </w:rPr>
      </w:pPr>
      <w:r>
        <w:rPr>
          <w:color w:val="000000" w:themeColor="text1"/>
        </w:rPr>
        <w:t>如竞商文件未附可接受的竞商保证金，则将被视为非响应性竞商而予以否决。</w:t>
      </w:r>
    </w:p>
    <w:p w14:paraId="787A7897">
      <w:pPr>
        <w:numPr>
          <w:ilvl w:val="1"/>
          <w:numId w:val="1"/>
        </w:numPr>
        <w:spacing w:line="360" w:lineRule="auto"/>
        <w:ind w:left="-240" w:leftChars="0" w:firstLineChars="0"/>
        <w:rPr>
          <w:color w:val="000000" w:themeColor="text1"/>
        </w:rPr>
      </w:pPr>
      <w:r>
        <w:rPr>
          <w:color w:val="000000" w:themeColor="text1"/>
        </w:rPr>
        <w:t>招商</w:t>
      </w:r>
      <w:r>
        <w:rPr>
          <w:rFonts w:hint="eastAsia"/>
          <w:color w:val="000000" w:themeColor="text1"/>
        </w:rPr>
        <w:t>人</w:t>
      </w:r>
      <w:r>
        <w:rPr>
          <w:color w:val="000000" w:themeColor="text1"/>
        </w:rPr>
        <w:t>将在书面合同签订后</w:t>
      </w:r>
      <w:r>
        <w:rPr>
          <w:rFonts w:hint="eastAsia"/>
          <w:color w:val="000000" w:themeColor="text1"/>
        </w:rPr>
        <w:t>并完成支付履约保证金后，</w:t>
      </w:r>
      <w:r>
        <w:rPr>
          <w:color w:val="000000" w:themeColor="text1"/>
        </w:rPr>
        <w:t>向</w:t>
      </w:r>
      <w:r>
        <w:rPr>
          <w:rFonts w:hint="eastAsia"/>
          <w:color w:val="000000" w:themeColor="text1"/>
        </w:rPr>
        <w:t>中商人</w:t>
      </w:r>
      <w:r>
        <w:rPr>
          <w:color w:val="000000" w:themeColor="text1"/>
        </w:rPr>
        <w:t>退还竞商保证金。未</w:t>
      </w:r>
      <w:r>
        <w:rPr>
          <w:rFonts w:hint="eastAsia"/>
          <w:color w:val="000000" w:themeColor="text1"/>
        </w:rPr>
        <w:t>被选定的</w:t>
      </w:r>
      <w:r>
        <w:rPr>
          <w:color w:val="000000" w:themeColor="text1"/>
        </w:rPr>
        <w:t>竞商人竞商保证金</w:t>
      </w:r>
      <w:r>
        <w:rPr>
          <w:rFonts w:hint="eastAsia"/>
          <w:color w:val="000000" w:themeColor="text1"/>
        </w:rPr>
        <w:t>在中商公告发出后20个工作日</w:t>
      </w:r>
      <w:r>
        <w:rPr>
          <w:color w:val="000000" w:themeColor="text1"/>
        </w:rPr>
        <w:t>退还。</w:t>
      </w:r>
    </w:p>
    <w:p w14:paraId="1B3653CF">
      <w:pPr>
        <w:numPr>
          <w:ilvl w:val="1"/>
          <w:numId w:val="1"/>
        </w:numPr>
        <w:spacing w:line="360" w:lineRule="auto"/>
        <w:ind w:left="-240" w:leftChars="0" w:firstLineChars="0"/>
        <w:rPr>
          <w:color w:val="000000" w:themeColor="text1"/>
        </w:rPr>
      </w:pPr>
      <w:bookmarkStart w:id="573" w:name="_Ref67308349"/>
      <w:bookmarkStart w:id="574" w:name="_Ref51334298"/>
      <w:r>
        <w:rPr>
          <w:color w:val="000000" w:themeColor="text1"/>
        </w:rPr>
        <w:t>如出现下列任一情况，竞商保证金将不予退还：</w:t>
      </w:r>
      <w:bookmarkEnd w:id="573"/>
      <w:bookmarkEnd w:id="574"/>
    </w:p>
    <w:p w14:paraId="7A2EAC9F">
      <w:pPr>
        <w:pStyle w:val="8"/>
        <w:numPr>
          <w:ilvl w:val="0"/>
          <w:numId w:val="9"/>
        </w:numPr>
        <w:spacing w:line="360" w:lineRule="auto"/>
        <w:ind w:left="851"/>
        <w:rPr>
          <w:color w:val="000000" w:themeColor="text1"/>
        </w:rPr>
      </w:pPr>
      <w:r>
        <w:rPr>
          <w:color w:val="000000" w:themeColor="text1"/>
        </w:rPr>
        <w:t>竞商人在竞商截止时间后至竞商有效期期满前撤销其竞商。</w:t>
      </w:r>
    </w:p>
    <w:p w14:paraId="5B637BF3">
      <w:pPr>
        <w:pStyle w:val="8"/>
        <w:numPr>
          <w:ilvl w:val="0"/>
          <w:numId w:val="9"/>
        </w:numPr>
        <w:spacing w:line="360" w:lineRule="auto"/>
        <w:ind w:left="851"/>
        <w:rPr>
          <w:color w:val="000000" w:themeColor="text1"/>
        </w:rPr>
      </w:pPr>
      <w:r>
        <w:rPr>
          <w:rFonts w:hint="eastAsia"/>
          <w:color w:val="000000" w:themeColor="text1"/>
        </w:rPr>
        <w:t>中商人</w:t>
      </w:r>
      <w:r>
        <w:rPr>
          <w:color w:val="000000" w:themeColor="text1"/>
        </w:rPr>
        <w:t>未在规定期限内根据本须知第</w:t>
      </w:r>
      <w:r>
        <w:fldChar w:fldCharType="begin"/>
      </w:r>
      <w:r>
        <w:instrText xml:space="preserve"> REF _Ref378436784 \r \h  \* MERGEFORMAT </w:instrText>
      </w:r>
      <w:r>
        <w:fldChar w:fldCharType="separate"/>
      </w:r>
      <w:r>
        <w:rPr>
          <w:color w:val="000000" w:themeColor="text1"/>
        </w:rPr>
        <w:t>28</w:t>
      </w:r>
      <w:r>
        <w:rPr>
          <w:color w:val="000000" w:themeColor="text1"/>
        </w:rPr>
        <w:fldChar w:fldCharType="end"/>
      </w:r>
      <w:r>
        <w:rPr>
          <w:color w:val="000000" w:themeColor="text1"/>
        </w:rPr>
        <w:t>条规定提交履约保证金。</w:t>
      </w:r>
    </w:p>
    <w:p w14:paraId="03F61E9F">
      <w:pPr>
        <w:pStyle w:val="8"/>
        <w:numPr>
          <w:ilvl w:val="0"/>
          <w:numId w:val="9"/>
        </w:numPr>
        <w:spacing w:line="360" w:lineRule="auto"/>
        <w:ind w:left="851"/>
        <w:rPr>
          <w:color w:val="000000" w:themeColor="text1"/>
        </w:rPr>
      </w:pPr>
      <w:r>
        <w:rPr>
          <w:rFonts w:hint="eastAsia"/>
          <w:color w:val="000000" w:themeColor="text1"/>
        </w:rPr>
        <w:t>中商人</w:t>
      </w:r>
      <w:r>
        <w:rPr>
          <w:color w:val="000000" w:themeColor="text1"/>
        </w:rPr>
        <w:t>未在规定期限内根据本须知第</w:t>
      </w:r>
      <w:r>
        <w:rPr>
          <w:rFonts w:hint="eastAsia"/>
          <w:color w:val="000000" w:themeColor="text1"/>
        </w:rPr>
        <w:t>29</w:t>
      </w:r>
      <w:r>
        <w:rPr>
          <w:color w:val="000000" w:themeColor="text1"/>
        </w:rPr>
        <w:t>条的规定与招商</w:t>
      </w:r>
      <w:r>
        <w:rPr>
          <w:rFonts w:hint="eastAsia"/>
          <w:color w:val="000000" w:themeColor="text1"/>
        </w:rPr>
        <w:t>人</w:t>
      </w:r>
      <w:r>
        <w:rPr>
          <w:color w:val="000000" w:themeColor="text1"/>
        </w:rPr>
        <w:t>签订合同。</w:t>
      </w:r>
    </w:p>
    <w:p w14:paraId="69429F15">
      <w:pPr>
        <w:pStyle w:val="8"/>
        <w:numPr>
          <w:ilvl w:val="0"/>
          <w:numId w:val="9"/>
        </w:numPr>
        <w:spacing w:line="360" w:lineRule="auto"/>
        <w:ind w:left="851"/>
        <w:rPr>
          <w:color w:val="000000" w:themeColor="text1"/>
        </w:rPr>
      </w:pPr>
      <w:r>
        <w:rPr>
          <w:rFonts w:hint="eastAsia"/>
          <w:color w:val="000000" w:themeColor="text1"/>
        </w:rPr>
        <w:t>中商人</w:t>
      </w:r>
      <w:r>
        <w:rPr>
          <w:color w:val="000000" w:themeColor="text1"/>
        </w:rPr>
        <w:t>在签订合同时向招商单位提出附加条件</w:t>
      </w:r>
    </w:p>
    <w:p w14:paraId="70200E33">
      <w:pPr>
        <w:pStyle w:val="8"/>
        <w:numPr>
          <w:ilvl w:val="0"/>
          <w:numId w:val="9"/>
        </w:numPr>
        <w:spacing w:line="360" w:lineRule="auto"/>
        <w:ind w:left="851"/>
        <w:rPr>
          <w:color w:val="000000" w:themeColor="text1"/>
        </w:rPr>
      </w:pPr>
      <w:r>
        <w:rPr>
          <w:rFonts w:hint="eastAsia"/>
          <w:bCs/>
          <w:color w:val="000000" w:themeColor="text1"/>
        </w:rPr>
        <w:t>招商公示阶段发现，被限制竞商人被举报并查实,变相参与竞商。</w:t>
      </w:r>
    </w:p>
    <w:p w14:paraId="7C221EFD">
      <w:pPr>
        <w:numPr>
          <w:ilvl w:val="1"/>
          <w:numId w:val="1"/>
        </w:numPr>
        <w:spacing w:line="360" w:lineRule="auto"/>
        <w:ind w:left="-240" w:leftChars="0" w:firstLineChars="0"/>
        <w:rPr>
          <w:color w:val="000000" w:themeColor="text1"/>
        </w:rPr>
      </w:pPr>
      <w:r>
        <w:rPr>
          <w:color w:val="000000" w:themeColor="text1"/>
        </w:rPr>
        <w:t>竞商保证金的形式、收取和退还规定</w:t>
      </w:r>
      <w:r>
        <w:rPr>
          <w:rFonts w:hint="eastAsia"/>
          <w:color w:val="000000" w:themeColor="text1"/>
        </w:rPr>
        <w:t>参</w:t>
      </w:r>
      <w:r>
        <w:rPr>
          <w:color w:val="000000" w:themeColor="text1"/>
        </w:rPr>
        <w:t>见本章。</w:t>
      </w:r>
    </w:p>
    <w:p w14:paraId="5305F338">
      <w:pPr>
        <w:pStyle w:val="2"/>
        <w:spacing w:before="0" w:after="0" w:line="360" w:lineRule="auto"/>
        <w:rPr>
          <w:rFonts w:ascii="Times New Roman"/>
          <w:color w:val="000000" w:themeColor="text1"/>
        </w:rPr>
      </w:pPr>
      <w:bookmarkStart w:id="575" w:name="_Toc354606556"/>
      <w:bookmarkStart w:id="576" w:name="_Toc51493889"/>
      <w:bookmarkStart w:id="577" w:name="_Toc257903074"/>
      <w:bookmarkStart w:id="578" w:name="_Toc283735884"/>
      <w:bookmarkStart w:id="579" w:name="_Toc283892547"/>
      <w:bookmarkStart w:id="580" w:name="_Ref51333948"/>
      <w:bookmarkStart w:id="581" w:name="_Toc355702878"/>
      <w:bookmarkStart w:id="582" w:name="_Toc283376828"/>
      <w:bookmarkStart w:id="583" w:name="_Toc213520738"/>
      <w:bookmarkStart w:id="584" w:name="_Toc60191133"/>
      <w:bookmarkStart w:id="585" w:name="_Toc53100390"/>
      <w:bookmarkStart w:id="586" w:name="_Toc282417436"/>
      <w:bookmarkStart w:id="587" w:name="_Toc52930768"/>
      <w:bookmarkStart w:id="588" w:name="_Toc283624770"/>
      <w:bookmarkStart w:id="589" w:name="_Toc213155143"/>
      <w:bookmarkStart w:id="590" w:name="_Toc282703511"/>
      <w:bookmarkStart w:id="591" w:name="_Toc66355966"/>
      <w:bookmarkStart w:id="592" w:name="_Toc53100470"/>
      <w:bookmarkStart w:id="593" w:name="_Toc283490379"/>
      <w:bookmarkStart w:id="594" w:name="_Toc354606467"/>
      <w:bookmarkStart w:id="595" w:name="_Toc338851126"/>
      <w:bookmarkStart w:id="596" w:name="_Toc11278"/>
      <w:bookmarkStart w:id="597" w:name="_Toc77318584"/>
      <w:bookmarkStart w:id="598" w:name="_Toc336238875"/>
      <w:bookmarkStart w:id="599" w:name="_Toc339016045"/>
      <w:bookmarkStart w:id="600" w:name="_Toc336241639"/>
      <w:bookmarkStart w:id="601" w:name="_Toc51494267"/>
      <w:bookmarkStart w:id="602" w:name="_Toc213516177"/>
      <w:bookmarkStart w:id="603" w:name="_Toc336245476"/>
      <w:bookmarkStart w:id="604" w:name="_Toc66355895"/>
      <w:r>
        <w:rPr>
          <w:rFonts w:ascii="Times New Roman"/>
          <w:color w:val="000000" w:themeColor="text1"/>
        </w:rPr>
        <w:t>竞商文件的份数和签署</w:t>
      </w:r>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p>
    <w:p w14:paraId="37BA1D15">
      <w:pPr>
        <w:numPr>
          <w:ilvl w:val="1"/>
          <w:numId w:val="1"/>
        </w:numPr>
        <w:spacing w:line="360" w:lineRule="auto"/>
        <w:ind w:left="-240" w:leftChars="0" w:firstLineChars="0"/>
        <w:rPr>
          <w:color w:val="000000" w:themeColor="text1"/>
        </w:rPr>
      </w:pPr>
      <w:r>
        <w:rPr>
          <w:color w:val="000000" w:themeColor="text1"/>
        </w:rPr>
        <w:t>竞商人应准备和递交竞商文件一份正本和</w:t>
      </w:r>
      <w:r>
        <w:rPr>
          <w:rFonts w:hint="eastAsia"/>
          <w:color w:val="000000" w:themeColor="text1"/>
        </w:rPr>
        <w:t>五</w:t>
      </w:r>
      <w:r>
        <w:rPr>
          <w:color w:val="000000" w:themeColor="text1"/>
        </w:rPr>
        <w:t>份副本及电子文件U盘一份，在每套竞商文件的封面均应明确注明“正本”或“副本”字样，一旦正本和副本有差异，将以正本为准。</w:t>
      </w:r>
      <w:bookmarkStart w:id="605" w:name="_Toc1807797"/>
    </w:p>
    <w:p w14:paraId="38F8E45F">
      <w:pPr>
        <w:numPr>
          <w:ilvl w:val="1"/>
          <w:numId w:val="1"/>
        </w:numPr>
        <w:spacing w:line="360" w:lineRule="auto"/>
        <w:ind w:left="-240" w:leftChars="0" w:firstLineChars="0"/>
        <w:rPr>
          <w:color w:val="000000" w:themeColor="text1"/>
        </w:rPr>
      </w:pPr>
      <w:r>
        <w:rPr>
          <w:color w:val="000000" w:themeColor="text1"/>
        </w:rPr>
        <w:t>竞商文件的正本和副本均应使用打印机打印或用不能轻易擦去且不易褪色的档案墨水书写，竞商文件的副本也可用复印机复制。不论是书写、打印或复制，均应做到清晰、整洁、规范。</w:t>
      </w:r>
      <w:bookmarkEnd w:id="605"/>
    </w:p>
    <w:p w14:paraId="5F12B1B2">
      <w:pPr>
        <w:numPr>
          <w:ilvl w:val="1"/>
          <w:numId w:val="1"/>
        </w:numPr>
        <w:spacing w:line="360" w:lineRule="auto"/>
        <w:ind w:left="-240" w:leftChars="0" w:firstLineChars="0"/>
        <w:rPr>
          <w:color w:val="000000" w:themeColor="text1"/>
        </w:rPr>
      </w:pPr>
      <w:r>
        <w:rPr>
          <w:color w:val="000000" w:themeColor="text1"/>
        </w:rPr>
        <w:t>竞商文件的正本应由竞商人的法定代表人或经正式授权并对竞商人有约束力的代表签字。由法定代表人签字时，须在竞商文件中提供“法定代表人证明书”；由授权代表签字时，须在竞商文件中加附“法定代表人授权书”，其格式应符合招商文件第六章的规定。除没有修改过的印刷文件（如公司样本等）外，正本</w:t>
      </w:r>
      <w:r>
        <w:rPr>
          <w:rFonts w:hint="eastAsia"/>
          <w:color w:val="000000" w:themeColor="text1"/>
        </w:rPr>
        <w:t>竞商</w:t>
      </w:r>
      <w:r>
        <w:rPr>
          <w:color w:val="000000" w:themeColor="text1"/>
        </w:rPr>
        <w:t>文件</w:t>
      </w:r>
      <w:r>
        <w:rPr>
          <w:rFonts w:hint="eastAsia"/>
          <w:color w:val="000000" w:themeColor="text1"/>
        </w:rPr>
        <w:t>需加盖公司骑缝章。</w:t>
      </w:r>
    </w:p>
    <w:p w14:paraId="7A2E4324">
      <w:pPr>
        <w:numPr>
          <w:ilvl w:val="1"/>
          <w:numId w:val="1"/>
        </w:numPr>
        <w:spacing w:line="360" w:lineRule="auto"/>
        <w:ind w:left="-240" w:leftChars="0" w:firstLineChars="0"/>
        <w:rPr>
          <w:color w:val="000000" w:themeColor="text1"/>
        </w:rPr>
      </w:pPr>
      <w:r>
        <w:rPr>
          <w:color w:val="000000" w:themeColor="text1"/>
        </w:rPr>
        <w:t>除竞商人对错漏之处做必要修改或补充外，竞商文件中不得有随意的行间插字、涂改和增删。如确有错漏之处确需要手工修改或补充，则必须由竞商人的法定代表人或其授权代表在修改或补充之处签字或盖章。</w:t>
      </w:r>
      <w:bookmarkStart w:id="606" w:name="_Toc1807803"/>
    </w:p>
    <w:p w14:paraId="7A2131BE">
      <w:pPr>
        <w:numPr>
          <w:ilvl w:val="1"/>
          <w:numId w:val="1"/>
        </w:numPr>
        <w:spacing w:line="360" w:lineRule="auto"/>
        <w:ind w:left="-240" w:leftChars="0" w:firstLineChars="0"/>
        <w:rPr>
          <w:color w:val="000000" w:themeColor="text1"/>
        </w:rPr>
      </w:pPr>
      <w:r>
        <w:rPr>
          <w:color w:val="000000" w:themeColor="text1"/>
        </w:rPr>
        <w:t>竞商文件副本的上述签名及盖章之处既可由竞商人的法定代表人或其授权代表亲笔签署，也可以通过复印将上述签名及盖章复制到副本上。</w:t>
      </w:r>
      <w:bookmarkEnd w:id="606"/>
    </w:p>
    <w:p w14:paraId="0B4886E2">
      <w:pPr>
        <w:pStyle w:val="173"/>
        <w:spacing w:before="0" w:after="0" w:line="360" w:lineRule="auto"/>
        <w:rPr>
          <w:rFonts w:ascii="Times New Roman"/>
          <w:color w:val="000000" w:themeColor="text1"/>
        </w:rPr>
      </w:pPr>
      <w:bookmarkStart w:id="607" w:name="_Toc60191134"/>
      <w:bookmarkStart w:id="608" w:name="_Toc336241640"/>
      <w:bookmarkStart w:id="609" w:name="_Toc336238876"/>
      <w:bookmarkStart w:id="610" w:name="_Toc53100471"/>
      <w:bookmarkStart w:id="611" w:name="_Toc213516178"/>
      <w:bookmarkStart w:id="612" w:name="_Toc77318585"/>
      <w:bookmarkStart w:id="613" w:name="_Toc66355967"/>
      <w:bookmarkStart w:id="614" w:name="_Toc51494268"/>
      <w:bookmarkStart w:id="615" w:name="_Toc282703512"/>
      <w:bookmarkStart w:id="616" w:name="_Toc51493890"/>
      <w:bookmarkStart w:id="617" w:name="_Toc213155144"/>
    </w:p>
    <w:p w14:paraId="6B07E212">
      <w:pPr>
        <w:pStyle w:val="173"/>
        <w:spacing w:before="0" w:after="0" w:line="360" w:lineRule="auto"/>
        <w:rPr>
          <w:rFonts w:ascii="Times New Roman"/>
          <w:color w:val="000000" w:themeColor="text1"/>
        </w:rPr>
      </w:pPr>
    </w:p>
    <w:p w14:paraId="645C858B">
      <w:pPr>
        <w:pStyle w:val="173"/>
        <w:spacing w:before="0" w:after="0" w:line="360" w:lineRule="auto"/>
        <w:rPr>
          <w:rFonts w:ascii="Times New Roman"/>
          <w:color w:val="000000" w:themeColor="text1"/>
        </w:rPr>
      </w:pPr>
    </w:p>
    <w:p w14:paraId="1830F56B">
      <w:pPr>
        <w:pStyle w:val="173"/>
        <w:spacing w:before="0" w:after="0" w:line="360" w:lineRule="auto"/>
        <w:rPr>
          <w:rFonts w:ascii="Times New Roman"/>
          <w:color w:val="000000" w:themeColor="text1"/>
        </w:rPr>
      </w:pPr>
    </w:p>
    <w:p w14:paraId="158127EE">
      <w:pPr>
        <w:pStyle w:val="173"/>
        <w:spacing w:before="0" w:after="0" w:line="360" w:lineRule="auto"/>
        <w:rPr>
          <w:rFonts w:ascii="Times New Roman"/>
          <w:color w:val="000000" w:themeColor="text1"/>
        </w:rPr>
      </w:pPr>
    </w:p>
    <w:p w14:paraId="748C19B4">
      <w:pPr>
        <w:pStyle w:val="173"/>
        <w:spacing w:before="0" w:after="0" w:line="360" w:lineRule="auto"/>
        <w:rPr>
          <w:rFonts w:ascii="Times New Roman"/>
          <w:color w:val="000000" w:themeColor="text1"/>
        </w:rPr>
      </w:pPr>
    </w:p>
    <w:p w14:paraId="17C43AC5">
      <w:pPr>
        <w:pStyle w:val="173"/>
        <w:spacing w:before="0" w:after="0" w:line="360" w:lineRule="auto"/>
        <w:rPr>
          <w:rFonts w:ascii="Times New Roman"/>
          <w:color w:val="000000" w:themeColor="text1"/>
        </w:rPr>
      </w:pPr>
    </w:p>
    <w:p w14:paraId="45BA3FE2">
      <w:pPr>
        <w:pStyle w:val="173"/>
        <w:spacing w:before="0" w:after="0" w:line="360" w:lineRule="auto"/>
        <w:rPr>
          <w:rFonts w:ascii="Times New Roman"/>
          <w:color w:val="000000" w:themeColor="text1"/>
        </w:rPr>
      </w:pPr>
    </w:p>
    <w:p w14:paraId="031C7EB1">
      <w:pPr>
        <w:pStyle w:val="173"/>
        <w:spacing w:before="0" w:after="0" w:line="360" w:lineRule="auto"/>
        <w:rPr>
          <w:rFonts w:ascii="Times New Roman"/>
          <w:color w:val="000000" w:themeColor="text1"/>
        </w:rPr>
      </w:pPr>
    </w:p>
    <w:p w14:paraId="73E6075E">
      <w:pPr>
        <w:pStyle w:val="173"/>
        <w:spacing w:before="0" w:after="0" w:line="360" w:lineRule="auto"/>
        <w:rPr>
          <w:rFonts w:ascii="Times New Roman"/>
          <w:color w:val="000000" w:themeColor="text1"/>
        </w:rPr>
      </w:pPr>
    </w:p>
    <w:p w14:paraId="312DB6AE">
      <w:pPr>
        <w:pStyle w:val="173"/>
        <w:spacing w:before="0" w:after="0" w:line="360" w:lineRule="auto"/>
        <w:rPr>
          <w:rFonts w:ascii="Times New Roman"/>
          <w:color w:val="000000" w:themeColor="text1"/>
        </w:rPr>
      </w:pPr>
    </w:p>
    <w:p w14:paraId="48909EFA">
      <w:pPr>
        <w:pStyle w:val="173"/>
        <w:spacing w:before="0" w:after="0" w:line="360" w:lineRule="auto"/>
        <w:rPr>
          <w:rFonts w:ascii="Times New Roman"/>
          <w:color w:val="000000" w:themeColor="text1"/>
        </w:rPr>
      </w:pPr>
    </w:p>
    <w:p w14:paraId="3C962122">
      <w:pPr>
        <w:pStyle w:val="173"/>
        <w:spacing w:before="0" w:after="0" w:line="360" w:lineRule="auto"/>
        <w:rPr>
          <w:rFonts w:ascii="Times New Roman"/>
          <w:color w:val="000000" w:themeColor="text1"/>
        </w:rPr>
      </w:pPr>
      <w:r>
        <w:rPr>
          <w:rFonts w:ascii="Times New Roman"/>
          <w:color w:val="000000" w:themeColor="text1"/>
        </w:rPr>
        <w:t>四、竞商文件的递交</w:t>
      </w:r>
      <w:bookmarkEnd w:id="607"/>
      <w:bookmarkEnd w:id="608"/>
      <w:bookmarkEnd w:id="609"/>
      <w:bookmarkEnd w:id="610"/>
      <w:bookmarkEnd w:id="611"/>
      <w:bookmarkEnd w:id="612"/>
      <w:bookmarkEnd w:id="613"/>
      <w:bookmarkEnd w:id="614"/>
      <w:bookmarkEnd w:id="615"/>
      <w:bookmarkEnd w:id="616"/>
      <w:bookmarkEnd w:id="617"/>
    </w:p>
    <w:p w14:paraId="31974653">
      <w:pPr>
        <w:pStyle w:val="2"/>
        <w:spacing w:before="0" w:after="0" w:line="360" w:lineRule="auto"/>
        <w:rPr>
          <w:rFonts w:ascii="Times New Roman"/>
          <w:color w:val="000000" w:themeColor="text1"/>
        </w:rPr>
      </w:pPr>
      <w:bookmarkStart w:id="618" w:name="_Toc66355896"/>
      <w:bookmarkStart w:id="619" w:name="_Toc53100391"/>
      <w:bookmarkStart w:id="620" w:name="_Toc213155145"/>
      <w:bookmarkStart w:id="621" w:name="_Toc52930769"/>
      <w:bookmarkStart w:id="622" w:name="_Toc60191135"/>
      <w:bookmarkStart w:id="623" w:name="_Toc354606468"/>
      <w:bookmarkStart w:id="624" w:name="_Toc336238877"/>
      <w:bookmarkStart w:id="625" w:name="_Toc336245477"/>
      <w:bookmarkStart w:id="626" w:name="_Toc282703513"/>
      <w:bookmarkStart w:id="627" w:name="_Toc282417437"/>
      <w:bookmarkStart w:id="628" w:name="_Toc53100472"/>
      <w:bookmarkStart w:id="629" w:name="_Toc213520739"/>
      <w:bookmarkStart w:id="630" w:name="_Ref51333958"/>
      <w:bookmarkStart w:id="631" w:name="_Toc24622"/>
      <w:bookmarkStart w:id="632" w:name="_Toc51494269"/>
      <w:bookmarkStart w:id="633" w:name="_Toc283490380"/>
      <w:bookmarkStart w:id="634" w:name="_Toc77318586"/>
      <w:bookmarkStart w:id="635" w:name="_Toc336241641"/>
      <w:bookmarkStart w:id="636" w:name="_Toc283624771"/>
      <w:bookmarkStart w:id="637" w:name="_Toc213516179"/>
      <w:bookmarkStart w:id="638" w:name="_Toc257903075"/>
      <w:bookmarkStart w:id="639" w:name="_Toc354606557"/>
      <w:bookmarkStart w:id="640" w:name="_Toc283892548"/>
      <w:bookmarkStart w:id="641" w:name="_Toc339016046"/>
      <w:bookmarkStart w:id="642" w:name="_Toc283376829"/>
      <w:bookmarkStart w:id="643" w:name="_Toc355702879"/>
      <w:bookmarkStart w:id="644" w:name="_Toc66355968"/>
      <w:bookmarkStart w:id="645" w:name="_Toc338851127"/>
      <w:bookmarkStart w:id="646" w:name="_Toc283735885"/>
      <w:bookmarkStart w:id="647" w:name="_Toc51493891"/>
      <w:r>
        <w:rPr>
          <w:rFonts w:ascii="Times New Roman"/>
          <w:color w:val="000000" w:themeColor="text1"/>
        </w:rPr>
        <w:t>竞商文件的密封、标记和发送</w:t>
      </w:r>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p>
    <w:p w14:paraId="34C912CD">
      <w:pPr>
        <w:numPr>
          <w:ilvl w:val="1"/>
          <w:numId w:val="1"/>
        </w:numPr>
        <w:spacing w:line="360" w:lineRule="auto"/>
        <w:ind w:left="-240" w:leftChars="0" w:firstLineChars="0"/>
        <w:rPr>
          <w:color w:val="000000" w:themeColor="text1"/>
        </w:rPr>
      </w:pPr>
      <w:bookmarkStart w:id="648" w:name="_Ref434457512"/>
      <w:bookmarkStart w:id="649" w:name="_Ref356692709"/>
      <w:r>
        <w:rPr>
          <w:rFonts w:hint="eastAsia"/>
          <w:color w:val="000000" w:themeColor="text1"/>
        </w:rPr>
        <w:t>竞商人应按将所有竞商文件、电子文件U盘（包括一份正本，五份副本，一份U盘）一起密封在一个大封袋（下称“竞商文件封袋”）内。</w:t>
      </w:r>
    </w:p>
    <w:p w14:paraId="77D173B8">
      <w:pPr>
        <w:pStyle w:val="2"/>
        <w:numPr>
          <w:ilvl w:val="0"/>
          <w:numId w:val="0"/>
        </w:numPr>
        <w:spacing w:before="0" w:after="0" w:line="360" w:lineRule="auto"/>
        <w:rPr>
          <w:rFonts w:ascii="Times New Roman"/>
          <w:color w:val="000000" w:themeColor="text1"/>
        </w:rPr>
      </w:pPr>
      <w:r>
        <w:rPr>
          <w:rFonts w:hint="eastAsia" w:ascii="Times New Roman"/>
          <w:color w:val="000000" w:themeColor="text1"/>
        </w:rPr>
        <w:t>15.2</w:t>
      </w:r>
      <w:r>
        <w:rPr>
          <w:rFonts w:ascii="Times New Roman"/>
          <w:color w:val="000000" w:themeColor="text1"/>
        </w:rPr>
        <w:t>竞商文件封袋应</w:t>
      </w:r>
      <w:bookmarkEnd w:id="648"/>
      <w:r>
        <w:rPr>
          <w:rFonts w:ascii="Times New Roman"/>
          <w:color w:val="000000" w:themeColor="text1"/>
        </w:rPr>
        <w:t>符合下列要求：</w:t>
      </w:r>
      <w:bookmarkEnd w:id="649"/>
    </w:p>
    <w:p w14:paraId="305D4BD1">
      <w:pPr>
        <w:pStyle w:val="8"/>
        <w:numPr>
          <w:ilvl w:val="0"/>
          <w:numId w:val="10"/>
        </w:numPr>
        <w:spacing w:line="360" w:lineRule="auto"/>
        <w:ind w:left="851"/>
        <w:rPr>
          <w:color w:val="000000" w:themeColor="text1"/>
        </w:rPr>
      </w:pPr>
      <w:r>
        <w:rPr>
          <w:color w:val="000000" w:themeColor="text1"/>
        </w:rPr>
        <w:t>标明项目名称</w:t>
      </w:r>
      <w:r>
        <w:rPr>
          <w:rFonts w:hint="eastAsia"/>
          <w:color w:val="000000" w:themeColor="text1"/>
        </w:rPr>
        <w:t>、</w:t>
      </w:r>
      <w:r>
        <w:rPr>
          <w:color w:val="000000" w:themeColor="text1"/>
        </w:rPr>
        <w:t>招商编号，并注明“在__年__月__日__:__ （北京时间）（填入“</w:t>
      </w:r>
      <w:r>
        <w:rPr>
          <w:rFonts w:hint="eastAsia"/>
          <w:color w:val="000000" w:themeColor="text1"/>
        </w:rPr>
        <w:t>招商公告</w:t>
      </w:r>
      <w:r>
        <w:rPr>
          <w:color w:val="000000" w:themeColor="text1"/>
        </w:rPr>
        <w:t>”中规定的竞商截止时间）之前不得启封”的字样。</w:t>
      </w:r>
    </w:p>
    <w:p w14:paraId="4D8CE897">
      <w:pPr>
        <w:pStyle w:val="8"/>
        <w:numPr>
          <w:ilvl w:val="0"/>
          <w:numId w:val="10"/>
        </w:numPr>
        <w:spacing w:line="360" w:lineRule="auto"/>
        <w:ind w:left="851"/>
        <w:rPr>
          <w:color w:val="000000" w:themeColor="text1"/>
        </w:rPr>
      </w:pPr>
      <w:r>
        <w:rPr>
          <w:color w:val="000000" w:themeColor="text1"/>
        </w:rPr>
        <w:t>标明“竞商文件” 或“竞商报价函”字样。</w:t>
      </w:r>
    </w:p>
    <w:p w14:paraId="1E39F23E">
      <w:pPr>
        <w:pStyle w:val="8"/>
        <w:numPr>
          <w:ilvl w:val="0"/>
          <w:numId w:val="10"/>
        </w:numPr>
        <w:spacing w:line="360" w:lineRule="auto"/>
        <w:ind w:left="851"/>
        <w:rPr>
          <w:color w:val="000000" w:themeColor="text1"/>
        </w:rPr>
      </w:pPr>
      <w:bookmarkStart w:id="650" w:name="_Ref452698119"/>
      <w:r>
        <w:rPr>
          <w:color w:val="000000" w:themeColor="text1"/>
        </w:rPr>
        <w:t>按“</w:t>
      </w:r>
      <w:r>
        <w:rPr>
          <w:rFonts w:hint="eastAsia"/>
          <w:color w:val="000000" w:themeColor="text1"/>
        </w:rPr>
        <w:t>招商公告</w:t>
      </w:r>
      <w:r>
        <w:rPr>
          <w:color w:val="000000" w:themeColor="text1"/>
        </w:rPr>
        <w:t>”中说明的竞商文件送达地址发往或送往指定地点。</w:t>
      </w:r>
    </w:p>
    <w:p w14:paraId="49A51C0A">
      <w:pPr>
        <w:pStyle w:val="8"/>
        <w:numPr>
          <w:ilvl w:val="0"/>
          <w:numId w:val="10"/>
        </w:numPr>
        <w:spacing w:line="360" w:lineRule="auto"/>
        <w:ind w:left="851"/>
        <w:rPr>
          <w:color w:val="000000" w:themeColor="text1"/>
        </w:rPr>
      </w:pPr>
      <w:r>
        <w:rPr>
          <w:rFonts w:hint="eastAsia"/>
          <w:bCs/>
          <w:color w:val="000000" w:themeColor="text1"/>
        </w:rPr>
        <w:t>密封后的封面不得出现招商点位、场地编号、包件号，</w:t>
      </w:r>
      <w:bookmarkEnd w:id="650"/>
    </w:p>
    <w:p w14:paraId="41F0D96A">
      <w:pPr>
        <w:spacing w:line="360" w:lineRule="auto"/>
        <w:rPr>
          <w:color w:val="000000" w:themeColor="text1"/>
        </w:rPr>
      </w:pPr>
      <w:bookmarkStart w:id="651" w:name="_Ref357807313"/>
      <w:r>
        <w:rPr>
          <w:rFonts w:hint="eastAsia"/>
          <w:color w:val="000000" w:themeColor="text1"/>
        </w:rPr>
        <w:t>15.3</w:t>
      </w:r>
      <w:r>
        <w:rPr>
          <w:color w:val="000000" w:themeColor="text1"/>
        </w:rPr>
        <w:t>竞商文件封袋应标明竞商人的名称和地址，以便在竞商文件未按时送到指定地点时，能原封退回。</w:t>
      </w:r>
    </w:p>
    <w:p w14:paraId="272CC58D">
      <w:pPr>
        <w:spacing w:line="360" w:lineRule="auto"/>
        <w:rPr>
          <w:color w:val="000000" w:themeColor="text1"/>
        </w:rPr>
      </w:pPr>
      <w:r>
        <w:rPr>
          <w:rFonts w:hint="eastAsia"/>
          <w:color w:val="000000" w:themeColor="text1"/>
        </w:rPr>
        <w:t>15.4</w:t>
      </w:r>
      <w:r>
        <w:rPr>
          <w:color w:val="000000" w:themeColor="text1"/>
        </w:rPr>
        <w:t>如果竞商文件封袋未按第</w:t>
      </w:r>
      <w:r>
        <w:fldChar w:fldCharType="begin"/>
      </w:r>
      <w:r>
        <w:instrText xml:space="preserve"> REF _Ref434457512 \n  \* MERGEFORMAT </w:instrText>
      </w:r>
      <w:r>
        <w:fldChar w:fldCharType="separate"/>
      </w:r>
      <w:r>
        <w:rPr>
          <w:color w:val="000000" w:themeColor="text1"/>
        </w:rPr>
        <w:t>15.1</w:t>
      </w:r>
      <w:r>
        <w:rPr>
          <w:color w:val="000000" w:themeColor="text1"/>
        </w:rPr>
        <w:fldChar w:fldCharType="end"/>
      </w:r>
      <w:r>
        <w:rPr>
          <w:color w:val="000000" w:themeColor="text1"/>
        </w:rPr>
        <w:t>条要求密封和加写标注，招商</w:t>
      </w:r>
      <w:r>
        <w:rPr>
          <w:rFonts w:hint="eastAsia"/>
          <w:color w:val="000000" w:themeColor="text1"/>
        </w:rPr>
        <w:t>人</w:t>
      </w:r>
      <w:r>
        <w:rPr>
          <w:color w:val="000000" w:themeColor="text1"/>
        </w:rPr>
        <w:t>对误投或过早启封概不负责。对由此造成提前启封的竞商文件，招商单位将予以否决，并退回竞商人。</w:t>
      </w:r>
      <w:bookmarkEnd w:id="651"/>
      <w:bookmarkStart w:id="652" w:name="_Toc52930770"/>
      <w:bookmarkStart w:id="653" w:name="_Ref51327520"/>
      <w:bookmarkStart w:id="654" w:name="_Toc51494270"/>
      <w:bookmarkStart w:id="655" w:name="_Toc51493892"/>
      <w:r>
        <w:rPr>
          <w:rFonts w:hint="eastAsia"/>
          <w:color w:val="000000" w:themeColor="text1"/>
        </w:rPr>
        <w:t>对</w:t>
      </w:r>
      <w:r>
        <w:rPr>
          <w:color w:val="000000" w:themeColor="text1"/>
        </w:rPr>
        <w:t>未按规定</w:t>
      </w:r>
      <w:r>
        <w:rPr>
          <w:rFonts w:hint="eastAsia"/>
          <w:color w:val="000000" w:themeColor="text1"/>
        </w:rPr>
        <w:t>密封的</w:t>
      </w:r>
      <w:r>
        <w:rPr>
          <w:color w:val="000000" w:themeColor="text1"/>
        </w:rPr>
        <w:t>竞商文件</w:t>
      </w:r>
      <w:r>
        <w:rPr>
          <w:rFonts w:hint="eastAsia"/>
          <w:color w:val="000000" w:themeColor="text1"/>
        </w:rPr>
        <w:t>，</w:t>
      </w:r>
      <w:r>
        <w:rPr>
          <w:color w:val="000000" w:themeColor="text1"/>
        </w:rPr>
        <w:t>招商</w:t>
      </w:r>
      <w:r>
        <w:rPr>
          <w:rFonts w:hint="eastAsia"/>
          <w:color w:val="000000" w:themeColor="text1"/>
        </w:rPr>
        <w:t>人将</w:t>
      </w:r>
      <w:r>
        <w:rPr>
          <w:color w:val="000000" w:themeColor="text1"/>
        </w:rPr>
        <w:t>不予受理。</w:t>
      </w:r>
    </w:p>
    <w:bookmarkEnd w:id="652"/>
    <w:bookmarkEnd w:id="653"/>
    <w:bookmarkEnd w:id="654"/>
    <w:bookmarkEnd w:id="655"/>
    <w:p w14:paraId="5935F9E0">
      <w:pPr>
        <w:pStyle w:val="2"/>
        <w:spacing w:before="0" w:after="0" w:line="360" w:lineRule="auto"/>
        <w:rPr>
          <w:rFonts w:ascii="Times New Roman"/>
          <w:color w:val="000000" w:themeColor="text1"/>
        </w:rPr>
      </w:pPr>
      <w:bookmarkStart w:id="656" w:name="_Toc357809940"/>
      <w:bookmarkEnd w:id="656"/>
      <w:bookmarkStart w:id="657" w:name="_Toc77318587"/>
      <w:bookmarkStart w:id="658" w:name="_Toc27284"/>
      <w:r>
        <w:rPr>
          <w:rFonts w:ascii="Times New Roman"/>
          <w:color w:val="000000" w:themeColor="text1"/>
        </w:rPr>
        <w:t>竞商截止时间</w:t>
      </w:r>
      <w:bookmarkEnd w:id="657"/>
      <w:bookmarkEnd w:id="658"/>
    </w:p>
    <w:p w14:paraId="30FCAB19">
      <w:pPr>
        <w:numPr>
          <w:ilvl w:val="1"/>
          <w:numId w:val="1"/>
        </w:numPr>
        <w:spacing w:line="360" w:lineRule="auto"/>
        <w:ind w:left="-240" w:leftChars="0" w:firstLineChars="0"/>
        <w:rPr>
          <w:color w:val="000000" w:themeColor="text1"/>
        </w:rPr>
      </w:pPr>
      <w:bookmarkStart w:id="659" w:name="_Ref66857108"/>
      <w:r>
        <w:rPr>
          <w:color w:val="000000" w:themeColor="text1"/>
        </w:rPr>
        <w:t>所有竞商文件递交都必须按招商</w:t>
      </w:r>
      <w:r>
        <w:rPr>
          <w:rFonts w:hint="eastAsia"/>
          <w:color w:val="000000" w:themeColor="text1"/>
        </w:rPr>
        <w:t>人</w:t>
      </w:r>
      <w:r>
        <w:rPr>
          <w:color w:val="000000" w:themeColor="text1"/>
        </w:rPr>
        <w:t>在“</w:t>
      </w:r>
      <w:r>
        <w:rPr>
          <w:rFonts w:hint="eastAsia"/>
          <w:color w:val="000000" w:themeColor="text1"/>
        </w:rPr>
        <w:t>招商公告</w:t>
      </w:r>
      <w:r>
        <w:rPr>
          <w:color w:val="000000" w:themeColor="text1"/>
        </w:rPr>
        <w:t>”中规定的竞商截止时间前送达指定地点。</w:t>
      </w:r>
      <w:bookmarkEnd w:id="659"/>
    </w:p>
    <w:p w14:paraId="04C31392">
      <w:pPr>
        <w:numPr>
          <w:ilvl w:val="1"/>
          <w:numId w:val="1"/>
        </w:numPr>
        <w:spacing w:line="360" w:lineRule="auto"/>
        <w:ind w:left="-240" w:leftChars="0" w:firstLineChars="0"/>
        <w:rPr>
          <w:color w:val="000000" w:themeColor="text1"/>
        </w:rPr>
      </w:pPr>
      <w:r>
        <w:rPr>
          <w:color w:val="000000" w:themeColor="text1"/>
        </w:rPr>
        <w:t>招商</w:t>
      </w:r>
      <w:r>
        <w:rPr>
          <w:rFonts w:hint="eastAsia"/>
          <w:color w:val="000000" w:themeColor="text1"/>
        </w:rPr>
        <w:t>人</w:t>
      </w:r>
      <w:r>
        <w:rPr>
          <w:color w:val="000000" w:themeColor="text1"/>
        </w:rPr>
        <w:t>可以按本须知第</w:t>
      </w:r>
      <w:r>
        <w:fldChar w:fldCharType="begin"/>
      </w:r>
      <w:r>
        <w:instrText xml:space="preserve"> REF _Ref67308458 \r \h  \* MERGEFORMAT </w:instrText>
      </w:r>
      <w:r>
        <w:fldChar w:fldCharType="separate"/>
      </w:r>
      <w:r>
        <w:rPr>
          <w:color w:val="000000" w:themeColor="text1"/>
        </w:rPr>
        <w:t>12.2</w:t>
      </w:r>
      <w:r>
        <w:rPr>
          <w:color w:val="000000" w:themeColor="text1"/>
        </w:rPr>
        <w:fldChar w:fldCharType="end"/>
      </w:r>
      <w:r>
        <w:rPr>
          <w:color w:val="000000" w:themeColor="text1"/>
        </w:rPr>
        <w:t>条的规定，通过修改招商文件自行决定酌情延长竞商截止时间。在此情况下，招商</w:t>
      </w:r>
      <w:r>
        <w:rPr>
          <w:rFonts w:hint="eastAsia"/>
          <w:color w:val="000000" w:themeColor="text1"/>
        </w:rPr>
        <w:t>人</w:t>
      </w:r>
      <w:r>
        <w:rPr>
          <w:color w:val="000000" w:themeColor="text1"/>
        </w:rPr>
        <w:t>与竞商人之间受竞商截止时间制约的所有权利和义务均应延长至新的截止期。</w:t>
      </w:r>
    </w:p>
    <w:p w14:paraId="7E8A3CE2">
      <w:pPr>
        <w:pStyle w:val="2"/>
        <w:spacing w:before="0" w:after="0" w:line="360" w:lineRule="auto"/>
        <w:rPr>
          <w:rFonts w:ascii="Times New Roman"/>
          <w:color w:val="000000" w:themeColor="text1"/>
        </w:rPr>
      </w:pPr>
      <w:bookmarkStart w:id="660" w:name="_Toc282417439"/>
      <w:bookmarkStart w:id="661" w:name="_Toc213516181"/>
      <w:bookmarkStart w:id="662" w:name="_Toc339016048"/>
      <w:bookmarkStart w:id="663" w:name="_Toc213155147"/>
      <w:bookmarkStart w:id="664" w:name="_Toc355702881"/>
      <w:bookmarkStart w:id="665" w:name="_Toc336241643"/>
      <w:bookmarkStart w:id="666" w:name="_Toc283892550"/>
      <w:bookmarkStart w:id="667" w:name="_Toc283735887"/>
      <w:bookmarkStart w:id="668" w:name="_Toc51494271"/>
      <w:bookmarkStart w:id="669" w:name="_Toc53100393"/>
      <w:bookmarkStart w:id="670" w:name="_Toc283624773"/>
      <w:bookmarkStart w:id="671" w:name="_Toc257903077"/>
      <w:bookmarkStart w:id="672" w:name="_Toc283376831"/>
      <w:bookmarkStart w:id="673" w:name="_Toc66355898"/>
      <w:bookmarkStart w:id="674" w:name="_Toc60191137"/>
      <w:bookmarkStart w:id="675" w:name="_Toc354606470"/>
      <w:bookmarkStart w:id="676" w:name="_Toc213520741"/>
      <w:bookmarkStart w:id="677" w:name="_Toc52930771"/>
      <w:bookmarkStart w:id="678" w:name="_Toc283490382"/>
      <w:bookmarkStart w:id="679" w:name="_Toc354606559"/>
      <w:bookmarkStart w:id="680" w:name="_Toc338851129"/>
      <w:bookmarkStart w:id="681" w:name="_Toc336245479"/>
      <w:bookmarkStart w:id="682" w:name="_Toc282703515"/>
      <w:bookmarkStart w:id="683" w:name="_Toc66355970"/>
      <w:bookmarkStart w:id="684" w:name="_Toc53100474"/>
      <w:bookmarkStart w:id="685" w:name="_Toc51493893"/>
      <w:bookmarkStart w:id="686" w:name="_Toc336238879"/>
      <w:bookmarkStart w:id="687" w:name="_Toc23744"/>
      <w:bookmarkStart w:id="688" w:name="_Toc77318588"/>
      <w:r>
        <w:rPr>
          <w:rFonts w:ascii="Times New Roman"/>
          <w:color w:val="000000" w:themeColor="text1"/>
        </w:rPr>
        <w:t>迟交的</w:t>
      </w:r>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r>
        <w:rPr>
          <w:rFonts w:ascii="Times New Roman"/>
          <w:color w:val="000000" w:themeColor="text1"/>
        </w:rPr>
        <w:t>竞商文件</w:t>
      </w:r>
      <w:bookmarkEnd w:id="687"/>
      <w:bookmarkEnd w:id="688"/>
    </w:p>
    <w:p w14:paraId="0A3F97C7">
      <w:pPr>
        <w:pStyle w:val="13"/>
        <w:spacing w:line="360" w:lineRule="auto"/>
        <w:rPr>
          <w:color w:val="000000" w:themeColor="text1"/>
        </w:rPr>
      </w:pPr>
      <w:r>
        <w:rPr>
          <w:color w:val="000000" w:themeColor="text1"/>
        </w:rPr>
        <w:t>按照本须知第</w:t>
      </w:r>
      <w:r>
        <w:fldChar w:fldCharType="begin"/>
      </w:r>
      <w:r>
        <w:instrText xml:space="preserve"> REF _Ref452698119 \r \h  \* MERGEFORMAT </w:instrText>
      </w:r>
      <w:r>
        <w:fldChar w:fldCharType="separate"/>
      </w:r>
      <w:r>
        <w:rPr>
          <w:color w:val="000000" w:themeColor="text1"/>
        </w:rPr>
        <w:t>3)</w:t>
      </w:r>
      <w:r>
        <w:rPr>
          <w:color w:val="000000" w:themeColor="text1"/>
        </w:rPr>
        <w:fldChar w:fldCharType="end"/>
      </w:r>
      <w:r>
        <w:rPr>
          <w:color w:val="000000" w:themeColor="text1"/>
        </w:rPr>
        <w:t>条和第</w:t>
      </w:r>
      <w:r>
        <w:fldChar w:fldCharType="begin"/>
      </w:r>
      <w:r>
        <w:instrText xml:space="preserve"> REF _Ref357807313 \r \h  \* MERGEFORMAT </w:instrText>
      </w:r>
      <w:r>
        <w:fldChar w:fldCharType="separate"/>
      </w:r>
      <w:r>
        <w:rPr>
          <w:color w:val="000000" w:themeColor="text1"/>
        </w:rPr>
        <w:t>0</w:t>
      </w:r>
      <w:r>
        <w:rPr>
          <w:color w:val="000000" w:themeColor="text1"/>
        </w:rPr>
        <w:fldChar w:fldCharType="end"/>
      </w:r>
      <w:r>
        <w:rPr>
          <w:color w:val="000000" w:themeColor="text1"/>
        </w:rPr>
        <w:t>条的规定，招商</w:t>
      </w:r>
      <w:r>
        <w:rPr>
          <w:rFonts w:hint="eastAsia"/>
          <w:color w:val="000000" w:themeColor="text1"/>
        </w:rPr>
        <w:t>人</w:t>
      </w:r>
      <w:r>
        <w:rPr>
          <w:color w:val="000000" w:themeColor="text1"/>
        </w:rPr>
        <w:t>将拒收并原封退回在其规定的</w:t>
      </w:r>
      <w:r>
        <w:rPr>
          <w:rFonts w:hint="eastAsia"/>
          <w:color w:val="000000" w:themeColor="text1"/>
        </w:rPr>
        <w:t>竞商</w:t>
      </w:r>
      <w:r>
        <w:rPr>
          <w:color w:val="000000" w:themeColor="text1"/>
        </w:rPr>
        <w:t>截止</w:t>
      </w:r>
      <w:r>
        <w:rPr>
          <w:rFonts w:hint="eastAsia"/>
          <w:color w:val="000000" w:themeColor="text1"/>
        </w:rPr>
        <w:t>时间</w:t>
      </w:r>
      <w:r>
        <w:rPr>
          <w:color w:val="000000" w:themeColor="text1"/>
        </w:rPr>
        <w:t>后收到的任何竞商文件。</w:t>
      </w:r>
      <w:bookmarkStart w:id="689" w:name="_Ref51385936"/>
    </w:p>
    <w:p w14:paraId="3A92B237">
      <w:pPr>
        <w:pStyle w:val="2"/>
        <w:spacing w:before="0" w:after="0" w:line="360" w:lineRule="auto"/>
        <w:rPr>
          <w:rFonts w:ascii="Times New Roman"/>
          <w:color w:val="000000" w:themeColor="text1"/>
        </w:rPr>
      </w:pPr>
      <w:bookmarkStart w:id="690" w:name="_Toc213155148"/>
      <w:bookmarkStart w:id="691" w:name="_Toc51493894"/>
      <w:bookmarkStart w:id="692" w:name="_Toc51494272"/>
      <w:bookmarkStart w:id="693" w:name="_Toc283735888"/>
      <w:bookmarkStart w:id="694" w:name="_Toc283490383"/>
      <w:bookmarkStart w:id="695" w:name="_Toc283624774"/>
      <w:bookmarkStart w:id="696" w:name="_Toc336238880"/>
      <w:bookmarkStart w:id="697" w:name="_Toc52930772"/>
      <w:bookmarkStart w:id="698" w:name="_Toc60191138"/>
      <w:bookmarkStart w:id="699" w:name="_Toc354606471"/>
      <w:bookmarkStart w:id="700" w:name="_Toc283376832"/>
      <w:bookmarkStart w:id="701" w:name="_Toc53100475"/>
      <w:bookmarkStart w:id="702" w:name="_Toc355702882"/>
      <w:bookmarkStart w:id="703" w:name="_Toc213516182"/>
      <w:bookmarkStart w:id="704" w:name="_Toc283892551"/>
      <w:bookmarkStart w:id="705" w:name="_Toc213520742"/>
      <w:bookmarkStart w:id="706" w:name="_Toc339016049"/>
      <w:bookmarkStart w:id="707" w:name="_Toc336241644"/>
      <w:bookmarkStart w:id="708" w:name="_Ref52787249"/>
      <w:bookmarkStart w:id="709" w:name="_Toc257903078"/>
      <w:bookmarkStart w:id="710" w:name="_Toc66355899"/>
      <w:bookmarkStart w:id="711" w:name="_Toc53100394"/>
      <w:bookmarkStart w:id="712" w:name="_Toc338851130"/>
      <w:bookmarkStart w:id="713" w:name="_Toc336245480"/>
      <w:bookmarkStart w:id="714" w:name="_Toc354606560"/>
      <w:bookmarkStart w:id="715" w:name="_Toc66355971"/>
      <w:bookmarkStart w:id="716" w:name="_Toc282703516"/>
      <w:bookmarkStart w:id="717" w:name="_Toc282417440"/>
      <w:bookmarkStart w:id="718" w:name="_Toc272"/>
      <w:bookmarkStart w:id="719" w:name="_Toc77318589"/>
      <w:r>
        <w:rPr>
          <w:rFonts w:ascii="Times New Roman"/>
          <w:color w:val="000000" w:themeColor="text1"/>
        </w:rPr>
        <w:t>竞商文件的修改、撤回</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r>
        <w:rPr>
          <w:rFonts w:ascii="Times New Roman"/>
          <w:color w:val="000000" w:themeColor="text1"/>
        </w:rPr>
        <w:t>和撤销</w:t>
      </w:r>
      <w:bookmarkEnd w:id="718"/>
      <w:bookmarkEnd w:id="719"/>
    </w:p>
    <w:p w14:paraId="63A8E1D7">
      <w:pPr>
        <w:numPr>
          <w:ilvl w:val="1"/>
          <w:numId w:val="1"/>
        </w:numPr>
        <w:spacing w:line="360" w:lineRule="auto"/>
        <w:ind w:left="-240" w:leftChars="0" w:firstLineChars="0"/>
        <w:rPr>
          <w:color w:val="000000" w:themeColor="text1"/>
        </w:rPr>
      </w:pPr>
      <w:r>
        <w:rPr>
          <w:color w:val="000000" w:themeColor="text1"/>
        </w:rPr>
        <w:t>竞商人修改或撤回其竞商文件必须在规定的竞商截止时间之前，以书面形式通知招商单位，并得到招商</w:t>
      </w:r>
      <w:r>
        <w:rPr>
          <w:rFonts w:hint="eastAsia"/>
          <w:color w:val="000000" w:themeColor="text1"/>
        </w:rPr>
        <w:t>人</w:t>
      </w:r>
      <w:r>
        <w:rPr>
          <w:color w:val="000000" w:themeColor="text1"/>
        </w:rPr>
        <w:t>的有效确认。</w:t>
      </w:r>
    </w:p>
    <w:p w14:paraId="51C0152F">
      <w:pPr>
        <w:numPr>
          <w:ilvl w:val="1"/>
          <w:numId w:val="1"/>
        </w:numPr>
        <w:spacing w:line="360" w:lineRule="auto"/>
        <w:ind w:left="-240" w:leftChars="0" w:firstLineChars="0"/>
        <w:rPr>
          <w:color w:val="000000" w:themeColor="text1"/>
        </w:rPr>
      </w:pPr>
      <w:r>
        <w:rPr>
          <w:color w:val="000000" w:themeColor="text1"/>
        </w:rPr>
        <w:t>竞商人对竞商文件修改的书面材料或撤回通知应按本须知第</w:t>
      </w:r>
      <w:r>
        <w:fldChar w:fldCharType="begin"/>
      </w:r>
      <w:r>
        <w:instrText xml:space="preserve"> REF _Ref51333948 \r \h  \* MERGEFORMAT </w:instrText>
      </w:r>
      <w:r>
        <w:fldChar w:fldCharType="separate"/>
      </w:r>
      <w:r>
        <w:rPr>
          <w:color w:val="000000" w:themeColor="text1"/>
        </w:rPr>
        <w:t>14</w:t>
      </w:r>
      <w:r>
        <w:rPr>
          <w:color w:val="000000" w:themeColor="text1"/>
        </w:rPr>
        <w:fldChar w:fldCharType="end"/>
      </w:r>
      <w:r>
        <w:rPr>
          <w:color w:val="000000" w:themeColor="text1"/>
        </w:rPr>
        <w:t>条和第</w:t>
      </w:r>
      <w:r>
        <w:fldChar w:fldCharType="begin"/>
      </w:r>
      <w:r>
        <w:instrText xml:space="preserve"> REF _Ref51333958 \r \h  \* MERGEFORMAT </w:instrText>
      </w:r>
      <w:r>
        <w:fldChar w:fldCharType="separate"/>
      </w:r>
      <w:r>
        <w:rPr>
          <w:color w:val="000000" w:themeColor="text1"/>
        </w:rPr>
        <w:t>15</w:t>
      </w:r>
      <w:r>
        <w:rPr>
          <w:color w:val="000000" w:themeColor="text1"/>
        </w:rPr>
        <w:fldChar w:fldCharType="end"/>
      </w:r>
      <w:r>
        <w:rPr>
          <w:color w:val="000000" w:themeColor="text1"/>
        </w:rPr>
        <w:t>条规定进行签署、密封、标注和递交，并注明“修改竞商文件”或“撤回竞商”字样。</w:t>
      </w:r>
    </w:p>
    <w:p w14:paraId="73C5FE3E">
      <w:pPr>
        <w:numPr>
          <w:ilvl w:val="1"/>
          <w:numId w:val="1"/>
        </w:numPr>
        <w:spacing w:line="360" w:lineRule="auto"/>
        <w:ind w:left="-240" w:leftChars="0" w:firstLineChars="0"/>
        <w:rPr>
          <w:color w:val="000000" w:themeColor="text1"/>
        </w:rPr>
      </w:pPr>
      <w:r>
        <w:rPr>
          <w:color w:val="000000" w:themeColor="text1"/>
        </w:rPr>
        <w:t>在竞商截止时间至</w:t>
      </w:r>
      <w:r>
        <w:rPr>
          <w:rFonts w:hint="eastAsia"/>
          <w:color w:val="000000" w:themeColor="text1"/>
        </w:rPr>
        <w:t>竞商人承诺的竞商有效期</w:t>
      </w:r>
      <w:r>
        <w:rPr>
          <w:color w:val="000000" w:themeColor="text1"/>
        </w:rPr>
        <w:t>（或按本须知第</w:t>
      </w:r>
      <w:r>
        <w:fldChar w:fldCharType="begin"/>
      </w:r>
      <w:r>
        <w:instrText xml:space="preserve"> REF _Ref67308458 \r \h  \* MERGEFORMAT </w:instrText>
      </w:r>
      <w:r>
        <w:fldChar w:fldCharType="separate"/>
      </w:r>
      <w:r>
        <w:rPr>
          <w:color w:val="000000" w:themeColor="text1"/>
        </w:rPr>
        <w:t>12.2</w:t>
      </w:r>
      <w:r>
        <w:rPr>
          <w:color w:val="000000" w:themeColor="text1"/>
        </w:rPr>
        <w:fldChar w:fldCharType="end"/>
      </w:r>
      <w:r>
        <w:rPr>
          <w:color w:val="000000" w:themeColor="text1"/>
        </w:rPr>
        <w:t>条在竞商人已同意延长的竞商有效期）届满之间的这段时间内，竞商人不得对其竞商文件作任何修改。</w:t>
      </w:r>
    </w:p>
    <w:p w14:paraId="00C1460E">
      <w:pPr>
        <w:numPr>
          <w:ilvl w:val="1"/>
          <w:numId w:val="1"/>
        </w:numPr>
        <w:spacing w:line="360" w:lineRule="auto"/>
        <w:ind w:left="-240" w:leftChars="0" w:firstLineChars="0"/>
        <w:rPr>
          <w:color w:val="000000" w:themeColor="text1"/>
        </w:rPr>
      </w:pPr>
      <w:r>
        <w:rPr>
          <w:color w:val="000000" w:themeColor="text1"/>
        </w:rPr>
        <w:t>根据本须知第</w:t>
      </w:r>
      <w:r>
        <w:fldChar w:fldCharType="begin"/>
      </w:r>
      <w:r>
        <w:instrText xml:space="preserve"> REF _Ref67308349 \r \h  \* MERGEFORMAT </w:instrText>
      </w:r>
      <w:r>
        <w:fldChar w:fldCharType="separate"/>
      </w:r>
      <w:r>
        <w:rPr>
          <w:color w:val="000000" w:themeColor="text1"/>
        </w:rPr>
        <w:t>13.5</w:t>
      </w:r>
      <w:r>
        <w:rPr>
          <w:color w:val="000000" w:themeColor="text1"/>
        </w:rPr>
        <w:fldChar w:fldCharType="end"/>
      </w:r>
      <w:r>
        <w:rPr>
          <w:color w:val="000000" w:themeColor="text1"/>
        </w:rPr>
        <w:t>条的规定，在竞商截止时间至</w:t>
      </w:r>
      <w:r>
        <w:rPr>
          <w:rFonts w:hint="eastAsia"/>
          <w:color w:val="000000" w:themeColor="text1"/>
        </w:rPr>
        <w:t>竞商人承诺的竞商有效期</w:t>
      </w:r>
      <w:r>
        <w:rPr>
          <w:color w:val="000000" w:themeColor="text1"/>
        </w:rPr>
        <w:t>（或按本须知第</w:t>
      </w:r>
      <w:r>
        <w:fldChar w:fldCharType="begin"/>
      </w:r>
      <w:r>
        <w:instrText xml:space="preserve"> REF _Ref67308458 \r \h  \* MERGEFORMAT </w:instrText>
      </w:r>
      <w:r>
        <w:fldChar w:fldCharType="separate"/>
      </w:r>
      <w:r>
        <w:rPr>
          <w:color w:val="000000" w:themeColor="text1"/>
        </w:rPr>
        <w:t>12.2</w:t>
      </w:r>
      <w:r>
        <w:rPr>
          <w:color w:val="000000" w:themeColor="text1"/>
        </w:rPr>
        <w:fldChar w:fldCharType="end"/>
      </w:r>
      <w:r>
        <w:rPr>
          <w:color w:val="000000" w:themeColor="text1"/>
        </w:rPr>
        <w:t>条在竞商人已同意延长的竞商有效期）届满之间的这段时间内，竞商人不得撤销其竞商，否则其竞商保证金将不予退还。</w:t>
      </w:r>
    </w:p>
    <w:p w14:paraId="158DCB6D">
      <w:pPr>
        <w:pStyle w:val="173"/>
        <w:spacing w:before="0" w:after="0" w:line="360" w:lineRule="auto"/>
        <w:rPr>
          <w:rFonts w:ascii="Times New Roman"/>
          <w:color w:val="000000" w:themeColor="text1"/>
        </w:rPr>
      </w:pPr>
      <w:bookmarkStart w:id="720" w:name="_Toc53100476"/>
      <w:bookmarkStart w:id="721" w:name="_Toc60191139"/>
      <w:bookmarkStart w:id="722" w:name="_Toc51493895"/>
      <w:bookmarkStart w:id="723" w:name="_Toc336241645"/>
      <w:bookmarkStart w:id="724" w:name="_Toc51494273"/>
      <w:bookmarkStart w:id="725" w:name="_Toc213516183"/>
      <w:bookmarkStart w:id="726" w:name="_Toc282703517"/>
      <w:bookmarkStart w:id="727" w:name="_Toc66355972"/>
      <w:bookmarkStart w:id="728" w:name="_Toc213155149"/>
      <w:bookmarkStart w:id="729" w:name="_Toc336238881"/>
      <w:bookmarkStart w:id="730" w:name="_Toc77318590"/>
    </w:p>
    <w:p w14:paraId="0011A838">
      <w:pPr>
        <w:pStyle w:val="173"/>
        <w:spacing w:before="0" w:after="0" w:line="360" w:lineRule="auto"/>
        <w:jc w:val="left"/>
        <w:rPr>
          <w:rFonts w:ascii="Times New Roman"/>
          <w:color w:val="000000" w:themeColor="text1"/>
        </w:rPr>
      </w:pPr>
    </w:p>
    <w:p w14:paraId="39C79119">
      <w:pPr>
        <w:pStyle w:val="173"/>
        <w:spacing w:before="0" w:after="0" w:line="360" w:lineRule="auto"/>
        <w:jc w:val="left"/>
        <w:rPr>
          <w:rFonts w:ascii="Times New Roman"/>
          <w:color w:val="000000" w:themeColor="text1"/>
        </w:rPr>
      </w:pPr>
    </w:p>
    <w:p w14:paraId="7E12A1B5">
      <w:pPr>
        <w:pStyle w:val="173"/>
        <w:spacing w:before="0" w:after="0" w:line="360" w:lineRule="auto"/>
        <w:jc w:val="left"/>
        <w:rPr>
          <w:rFonts w:ascii="Times New Roman"/>
          <w:color w:val="000000" w:themeColor="text1"/>
        </w:rPr>
      </w:pPr>
    </w:p>
    <w:p w14:paraId="44C10CB7">
      <w:pPr>
        <w:pStyle w:val="173"/>
        <w:spacing w:before="0" w:after="0" w:line="360" w:lineRule="auto"/>
        <w:rPr>
          <w:rFonts w:ascii="Times New Roman"/>
          <w:color w:val="000000" w:themeColor="text1"/>
        </w:rPr>
      </w:pPr>
      <w:r>
        <w:rPr>
          <w:rFonts w:hint="eastAsia" w:ascii="Times New Roman"/>
          <w:color w:val="000000" w:themeColor="text1"/>
        </w:rPr>
        <w:t>五、竞商报名</w:t>
      </w:r>
    </w:p>
    <w:p w14:paraId="24BFF273">
      <w:pPr>
        <w:spacing w:line="500" w:lineRule="exact"/>
        <w:ind w:firstLine="480" w:firstLineChars="200"/>
        <w:rPr>
          <w:b/>
          <w:bCs w:val="0"/>
          <w:color w:val="000000" w:themeColor="text1"/>
          <w:szCs w:val="20"/>
        </w:rPr>
      </w:pPr>
      <w:r>
        <w:rPr>
          <w:rFonts w:hint="eastAsia"/>
          <w:bCs/>
          <w:color w:val="000000" w:themeColor="text1"/>
          <w:szCs w:val="20"/>
          <w:highlight w:val="none"/>
        </w:rPr>
        <w:t>竞商人</w:t>
      </w:r>
      <w:r>
        <w:rPr>
          <w:rFonts w:hint="eastAsia"/>
          <w:bCs/>
          <w:color w:val="auto"/>
          <w:szCs w:val="20"/>
          <w:highlight w:val="none"/>
        </w:rPr>
        <w:t>于</w:t>
      </w:r>
      <w:r>
        <w:rPr>
          <w:rFonts w:hint="eastAsia"/>
          <w:bCs/>
          <w:color w:val="auto"/>
          <w:szCs w:val="20"/>
          <w:highlight w:val="none"/>
          <w:lang w:val="en-US" w:eastAsia="zh-CN"/>
        </w:rPr>
        <w:t>2025</w:t>
      </w:r>
      <w:r>
        <w:rPr>
          <w:rFonts w:hint="eastAsia"/>
          <w:bCs/>
          <w:color w:val="auto"/>
          <w:szCs w:val="20"/>
          <w:highlight w:val="none"/>
        </w:rPr>
        <w:t>年</w:t>
      </w:r>
      <w:r>
        <w:rPr>
          <w:rFonts w:hint="eastAsia"/>
          <w:bCs/>
          <w:color w:val="auto"/>
          <w:szCs w:val="20"/>
          <w:highlight w:val="none"/>
          <w:lang w:val="en-US" w:eastAsia="zh-CN"/>
        </w:rPr>
        <w:t>10</w:t>
      </w:r>
      <w:r>
        <w:rPr>
          <w:rFonts w:hint="eastAsia"/>
          <w:bCs/>
          <w:color w:val="auto"/>
          <w:szCs w:val="20"/>
          <w:highlight w:val="none"/>
        </w:rPr>
        <w:t>月</w:t>
      </w:r>
      <w:r>
        <w:rPr>
          <w:rFonts w:hint="eastAsia"/>
          <w:bCs/>
          <w:color w:val="auto"/>
          <w:szCs w:val="20"/>
          <w:highlight w:val="none"/>
          <w:lang w:val="en-US" w:eastAsia="zh-CN"/>
        </w:rPr>
        <w:t>15</w:t>
      </w:r>
      <w:r>
        <w:rPr>
          <w:rFonts w:hint="eastAsia"/>
          <w:bCs/>
          <w:color w:val="auto"/>
          <w:szCs w:val="20"/>
          <w:highlight w:val="none"/>
        </w:rPr>
        <w:t>日</w:t>
      </w:r>
      <w:r>
        <w:rPr>
          <w:rFonts w:hint="eastAsia"/>
          <w:bCs/>
          <w:color w:val="auto"/>
          <w:szCs w:val="20"/>
          <w:highlight w:val="none"/>
          <w:lang w:val="en-US" w:eastAsia="zh-CN"/>
        </w:rPr>
        <w:t>14</w:t>
      </w:r>
      <w:r>
        <w:rPr>
          <w:rFonts w:hint="eastAsia"/>
          <w:bCs/>
          <w:color w:val="auto"/>
          <w:szCs w:val="20"/>
          <w:highlight w:val="none"/>
        </w:rPr>
        <w:t>:</w:t>
      </w:r>
      <w:r>
        <w:rPr>
          <w:rFonts w:hint="eastAsia"/>
          <w:bCs/>
          <w:color w:val="auto"/>
          <w:szCs w:val="20"/>
          <w:highlight w:val="none"/>
          <w:lang w:val="en-US" w:eastAsia="zh-CN"/>
        </w:rPr>
        <w:t>00</w:t>
      </w:r>
      <w:r>
        <w:rPr>
          <w:rFonts w:hint="eastAsia"/>
          <w:bCs/>
          <w:color w:val="auto"/>
          <w:szCs w:val="20"/>
          <w:highlight w:val="none"/>
        </w:rPr>
        <w:t>-</w:t>
      </w:r>
      <w:r>
        <w:rPr>
          <w:rFonts w:hint="eastAsia"/>
          <w:bCs/>
          <w:color w:val="auto"/>
          <w:szCs w:val="20"/>
          <w:highlight w:val="none"/>
          <w:lang w:val="en-US" w:eastAsia="zh-CN"/>
        </w:rPr>
        <w:t>16</w:t>
      </w:r>
      <w:r>
        <w:rPr>
          <w:rFonts w:hint="eastAsia"/>
          <w:bCs/>
          <w:color w:val="auto"/>
          <w:szCs w:val="20"/>
          <w:highlight w:val="none"/>
        </w:rPr>
        <w:t>:</w:t>
      </w:r>
      <w:r>
        <w:rPr>
          <w:rFonts w:hint="eastAsia"/>
          <w:bCs/>
          <w:color w:val="auto"/>
          <w:szCs w:val="20"/>
          <w:highlight w:val="none"/>
          <w:lang w:val="en-US" w:eastAsia="zh-CN"/>
        </w:rPr>
        <w:t>00</w:t>
      </w:r>
      <w:r>
        <w:rPr>
          <w:rFonts w:hint="eastAsia"/>
          <w:bCs/>
          <w:color w:val="auto"/>
          <w:szCs w:val="20"/>
          <w:highlight w:val="none"/>
        </w:rPr>
        <w:t>在国铁</w:t>
      </w:r>
      <w:r>
        <w:rPr>
          <w:rFonts w:hint="eastAsia"/>
          <w:bCs/>
          <w:color w:val="auto"/>
          <w:szCs w:val="20"/>
        </w:rPr>
        <w:t>招</w:t>
      </w:r>
      <w:r>
        <w:rPr>
          <w:rFonts w:hint="eastAsia"/>
          <w:bCs/>
          <w:color w:val="000000" w:themeColor="text1"/>
          <w:szCs w:val="20"/>
        </w:rPr>
        <w:t>商平台完成报名，线上报名方式：打开国铁招商平台（https：//zs.95306.cn）→注册→登录→成功登录系统后，在首页找到本招商公告信息并点击“参与报名”进行报名。具体操作方法请查阅该网站首页底部“帮助中心”的《登录注册流程》、《竞商人操作手册》或咨询网站客服电话010-95306-8-3（忘记登录账户或密码信息的，可咨询客服电话）。</w:t>
      </w:r>
      <w:r>
        <w:rPr>
          <w:rFonts w:hint="eastAsia"/>
          <w:b/>
          <w:bCs w:val="0"/>
          <w:color w:val="000000" w:themeColor="text1"/>
          <w:szCs w:val="20"/>
        </w:rPr>
        <w:t>网站注册信息核对需1个工作日，请尽早办理，以免影响招商报名,若未在按要求在规定期间内完成报名，则无竞商资格。</w:t>
      </w:r>
    </w:p>
    <w:p w14:paraId="38036796">
      <w:pPr>
        <w:spacing w:line="360" w:lineRule="auto"/>
        <w:ind w:firstLine="482" w:firstLineChars="200"/>
        <w:rPr>
          <w:b/>
          <w:bCs w:val="0"/>
          <w:color w:val="000000" w:themeColor="text1"/>
          <w:szCs w:val="20"/>
        </w:rPr>
      </w:pPr>
    </w:p>
    <w:p w14:paraId="49ABFAB0">
      <w:pPr>
        <w:pStyle w:val="63"/>
        <w:ind w:firstLine="420"/>
        <w:rPr>
          <w:color w:val="000000" w:themeColor="text1"/>
        </w:rPr>
      </w:pPr>
    </w:p>
    <w:p w14:paraId="1B7E8926">
      <w:pPr>
        <w:pStyle w:val="173"/>
        <w:spacing w:before="0" w:after="0" w:line="360" w:lineRule="auto"/>
        <w:rPr>
          <w:rFonts w:ascii="Times New Roman"/>
          <w:color w:val="000000" w:themeColor="text1"/>
        </w:rPr>
      </w:pPr>
    </w:p>
    <w:p w14:paraId="3393AE04">
      <w:pPr>
        <w:pStyle w:val="173"/>
        <w:spacing w:before="0" w:after="0" w:line="360" w:lineRule="auto"/>
        <w:rPr>
          <w:rFonts w:ascii="Times New Roman"/>
          <w:color w:val="000000" w:themeColor="text1"/>
        </w:rPr>
      </w:pPr>
    </w:p>
    <w:p w14:paraId="12FA39D7">
      <w:pPr>
        <w:pStyle w:val="173"/>
        <w:spacing w:before="0" w:after="0" w:line="360" w:lineRule="auto"/>
        <w:jc w:val="left"/>
        <w:rPr>
          <w:rFonts w:ascii="Times New Roman"/>
          <w:color w:val="000000" w:themeColor="text1"/>
        </w:rPr>
      </w:pPr>
    </w:p>
    <w:p w14:paraId="5EFF6B72">
      <w:pPr>
        <w:pStyle w:val="173"/>
        <w:spacing w:before="0" w:after="0" w:line="360" w:lineRule="auto"/>
        <w:jc w:val="left"/>
        <w:rPr>
          <w:rFonts w:ascii="Times New Roman"/>
          <w:color w:val="000000" w:themeColor="text1"/>
        </w:rPr>
      </w:pPr>
    </w:p>
    <w:p w14:paraId="353A2C66">
      <w:pPr>
        <w:pStyle w:val="173"/>
        <w:spacing w:before="0" w:after="0" w:line="360" w:lineRule="auto"/>
        <w:jc w:val="left"/>
        <w:rPr>
          <w:rFonts w:ascii="Times New Roman"/>
          <w:color w:val="000000" w:themeColor="text1"/>
        </w:rPr>
      </w:pPr>
    </w:p>
    <w:p w14:paraId="15C812E2">
      <w:pPr>
        <w:pStyle w:val="173"/>
        <w:spacing w:before="0" w:after="0" w:line="360" w:lineRule="auto"/>
        <w:jc w:val="left"/>
        <w:rPr>
          <w:rFonts w:ascii="Times New Roman"/>
          <w:color w:val="000000" w:themeColor="text1"/>
        </w:rPr>
      </w:pPr>
    </w:p>
    <w:p w14:paraId="04566B0E">
      <w:pPr>
        <w:pStyle w:val="173"/>
        <w:spacing w:before="0" w:after="0" w:line="360" w:lineRule="auto"/>
        <w:jc w:val="left"/>
        <w:rPr>
          <w:rFonts w:ascii="Times New Roman"/>
          <w:color w:val="000000" w:themeColor="text1"/>
        </w:rPr>
      </w:pPr>
    </w:p>
    <w:p w14:paraId="457C0F9E">
      <w:pPr>
        <w:pStyle w:val="173"/>
        <w:spacing w:before="0" w:after="0" w:line="360" w:lineRule="auto"/>
        <w:jc w:val="left"/>
        <w:rPr>
          <w:rFonts w:ascii="Times New Roman"/>
          <w:color w:val="000000" w:themeColor="text1"/>
        </w:rPr>
      </w:pPr>
    </w:p>
    <w:p w14:paraId="4284167C">
      <w:pPr>
        <w:pStyle w:val="173"/>
        <w:spacing w:before="0" w:after="0" w:line="360" w:lineRule="auto"/>
        <w:jc w:val="left"/>
        <w:rPr>
          <w:rFonts w:ascii="Times New Roman"/>
          <w:color w:val="000000" w:themeColor="text1"/>
        </w:rPr>
      </w:pPr>
    </w:p>
    <w:p w14:paraId="7198FB18">
      <w:pPr>
        <w:pStyle w:val="173"/>
        <w:spacing w:before="0" w:after="0" w:line="360" w:lineRule="auto"/>
        <w:rPr>
          <w:rFonts w:ascii="Times New Roman"/>
          <w:color w:val="000000" w:themeColor="text1"/>
        </w:rPr>
      </w:pPr>
      <w:r>
        <w:rPr>
          <w:rFonts w:hint="eastAsia" w:ascii="Times New Roman"/>
          <w:color w:val="000000" w:themeColor="text1"/>
        </w:rPr>
        <w:t>六、报价和</w:t>
      </w:r>
      <w:bookmarkEnd w:id="720"/>
      <w:bookmarkEnd w:id="721"/>
      <w:bookmarkEnd w:id="722"/>
      <w:bookmarkEnd w:id="723"/>
      <w:bookmarkEnd w:id="724"/>
      <w:bookmarkEnd w:id="725"/>
      <w:bookmarkEnd w:id="726"/>
      <w:bookmarkEnd w:id="727"/>
      <w:bookmarkEnd w:id="728"/>
      <w:bookmarkEnd w:id="729"/>
      <w:r>
        <w:rPr>
          <w:rFonts w:hint="eastAsia" w:ascii="Times New Roman"/>
          <w:color w:val="000000" w:themeColor="text1"/>
        </w:rPr>
        <w:t>评审</w:t>
      </w:r>
      <w:bookmarkEnd w:id="730"/>
    </w:p>
    <w:p w14:paraId="4A47E90F">
      <w:pPr>
        <w:pStyle w:val="2"/>
        <w:spacing w:before="0" w:after="0" w:line="360" w:lineRule="auto"/>
        <w:rPr>
          <w:rFonts w:ascii="Times New Roman"/>
          <w:color w:val="000000" w:themeColor="text1"/>
        </w:rPr>
      </w:pPr>
      <w:bookmarkStart w:id="731" w:name="_Toc357809945"/>
      <w:bookmarkEnd w:id="731"/>
      <w:bookmarkStart w:id="732" w:name="_Toc77318591"/>
      <w:bookmarkStart w:id="733" w:name="_Toc22231"/>
      <w:bookmarkStart w:id="734" w:name="_Toc51494275"/>
      <w:bookmarkStart w:id="735" w:name="_Toc53100396"/>
      <w:bookmarkStart w:id="736" w:name="_Toc66355900"/>
      <w:bookmarkStart w:id="737" w:name="_Toc60191141"/>
      <w:bookmarkStart w:id="738" w:name="_Toc51493897"/>
      <w:bookmarkStart w:id="739" w:name="_Toc52930774"/>
      <w:bookmarkStart w:id="740" w:name="_Toc53100478"/>
      <w:bookmarkStart w:id="741" w:name="_Toc66355973"/>
      <w:r>
        <w:rPr>
          <w:rFonts w:hint="eastAsia" w:ascii="Times New Roman"/>
          <w:color w:val="000000" w:themeColor="text1"/>
        </w:rPr>
        <w:t>报价</w:t>
      </w:r>
      <w:bookmarkEnd w:id="732"/>
      <w:bookmarkEnd w:id="733"/>
    </w:p>
    <w:p w14:paraId="135DAA04">
      <w:pPr>
        <w:ind w:firstLine="480" w:firstLineChars="200"/>
        <w:rPr>
          <w:color w:val="000000" w:themeColor="text1"/>
        </w:rPr>
      </w:pPr>
      <w:r>
        <w:rPr>
          <w:rFonts w:hint="eastAsia"/>
          <w:color w:val="000000" w:themeColor="text1"/>
        </w:rPr>
        <w:t>竞商底价</w:t>
      </w:r>
    </w:p>
    <w:p w14:paraId="504DC16F">
      <w:pPr>
        <w:pStyle w:val="63"/>
        <w:ind w:firstLine="420"/>
        <w:rPr>
          <w:color w:val="000000" w:themeColor="text1"/>
        </w:rPr>
      </w:pPr>
    </w:p>
    <w:tbl>
      <w:tblPr>
        <w:tblStyle w:val="52"/>
        <w:tblW w:w="8841" w:type="dxa"/>
        <w:jc w:val="center"/>
        <w:tblLayout w:type="fixed"/>
        <w:tblCellMar>
          <w:top w:w="0" w:type="dxa"/>
          <w:left w:w="108" w:type="dxa"/>
          <w:bottom w:w="0" w:type="dxa"/>
          <w:right w:w="108" w:type="dxa"/>
        </w:tblCellMar>
      </w:tblPr>
      <w:tblGrid>
        <w:gridCol w:w="601"/>
        <w:gridCol w:w="1265"/>
        <w:gridCol w:w="2007"/>
        <w:gridCol w:w="1194"/>
        <w:gridCol w:w="812"/>
        <w:gridCol w:w="1701"/>
        <w:gridCol w:w="1261"/>
      </w:tblGrid>
      <w:tr w14:paraId="61F66F42">
        <w:tblPrEx>
          <w:tblCellMar>
            <w:top w:w="0" w:type="dxa"/>
            <w:left w:w="108" w:type="dxa"/>
            <w:bottom w:w="0" w:type="dxa"/>
            <w:right w:w="108" w:type="dxa"/>
          </w:tblCellMar>
        </w:tblPrEx>
        <w:trPr>
          <w:trHeight w:val="1335" w:hRule="atLeast"/>
          <w:jc w:val="center"/>
        </w:trPr>
        <w:tc>
          <w:tcPr>
            <w:tcW w:w="601" w:type="dxa"/>
            <w:vMerge w:val="restart"/>
            <w:tcBorders>
              <w:top w:val="single" w:color="auto" w:sz="8" w:space="0"/>
              <w:left w:val="single" w:color="auto" w:sz="8" w:space="0"/>
              <w:bottom w:val="single" w:color="000000" w:sz="8" w:space="0"/>
              <w:right w:val="single" w:color="auto" w:sz="8" w:space="0"/>
            </w:tcBorders>
            <w:shd w:val="clear" w:color="auto" w:fill="auto"/>
            <w:vAlign w:val="center"/>
          </w:tcPr>
          <w:p w14:paraId="2B6A8FD1">
            <w:pPr>
              <w:jc w:val="center"/>
              <w:rPr>
                <w:rFonts w:ascii="仿宋" w:hAnsi="仿宋" w:eastAsia="仿宋" w:cs="宋体"/>
                <w:b/>
                <w:bCs/>
                <w:color w:val="000000"/>
              </w:rPr>
            </w:pPr>
            <w:r>
              <w:rPr>
                <w:rFonts w:hint="eastAsia" w:ascii="仿宋" w:hAnsi="仿宋" w:eastAsia="仿宋" w:cs="宋体"/>
                <w:b/>
                <w:bCs/>
                <w:color w:val="000000"/>
              </w:rPr>
              <w:t>包件号</w:t>
            </w:r>
          </w:p>
        </w:tc>
        <w:tc>
          <w:tcPr>
            <w:tcW w:w="1265" w:type="dxa"/>
            <w:vMerge w:val="restart"/>
            <w:tcBorders>
              <w:top w:val="single" w:color="auto" w:sz="8" w:space="0"/>
              <w:left w:val="single" w:color="auto" w:sz="8" w:space="0"/>
              <w:bottom w:val="single" w:color="000000" w:sz="8" w:space="0"/>
              <w:right w:val="single" w:color="auto" w:sz="8" w:space="0"/>
            </w:tcBorders>
            <w:shd w:val="clear" w:color="auto" w:fill="auto"/>
            <w:vAlign w:val="center"/>
          </w:tcPr>
          <w:p w14:paraId="61A148D8">
            <w:pPr>
              <w:jc w:val="center"/>
              <w:rPr>
                <w:rFonts w:ascii="仿宋" w:hAnsi="仿宋" w:eastAsia="仿宋" w:cs="宋体"/>
                <w:b/>
                <w:bCs/>
                <w:color w:val="000000"/>
              </w:rPr>
            </w:pPr>
            <w:r>
              <w:rPr>
                <w:rFonts w:hint="eastAsia" w:ascii="仿宋" w:hAnsi="仿宋" w:eastAsia="仿宋" w:cs="宋体"/>
                <w:b/>
                <w:bCs/>
                <w:color w:val="000000"/>
              </w:rPr>
              <w:t>所属站</w:t>
            </w:r>
          </w:p>
        </w:tc>
        <w:tc>
          <w:tcPr>
            <w:tcW w:w="2007" w:type="dxa"/>
            <w:vMerge w:val="restart"/>
            <w:tcBorders>
              <w:top w:val="single" w:color="auto" w:sz="8" w:space="0"/>
              <w:left w:val="single" w:color="auto" w:sz="8" w:space="0"/>
              <w:bottom w:val="single" w:color="000000" w:sz="8" w:space="0"/>
              <w:right w:val="single" w:color="auto" w:sz="8" w:space="0"/>
            </w:tcBorders>
            <w:shd w:val="clear" w:color="auto" w:fill="auto"/>
            <w:vAlign w:val="center"/>
          </w:tcPr>
          <w:p w14:paraId="3FCC3D0B">
            <w:pPr>
              <w:jc w:val="center"/>
              <w:rPr>
                <w:rFonts w:ascii="仿宋" w:hAnsi="仿宋" w:eastAsia="仿宋" w:cs="宋体"/>
                <w:b/>
                <w:bCs/>
                <w:color w:val="000000"/>
              </w:rPr>
            </w:pPr>
            <w:r>
              <w:rPr>
                <w:rFonts w:hint="eastAsia" w:ascii="仿宋" w:hAnsi="仿宋" w:eastAsia="仿宋" w:cs="宋体"/>
                <w:b/>
                <w:bCs/>
                <w:color w:val="000000"/>
              </w:rPr>
              <w:t>招商点位        （场地编号）</w:t>
            </w:r>
          </w:p>
        </w:tc>
        <w:tc>
          <w:tcPr>
            <w:tcW w:w="1194" w:type="dxa"/>
            <w:vMerge w:val="restart"/>
            <w:tcBorders>
              <w:top w:val="single" w:color="auto" w:sz="8" w:space="0"/>
              <w:left w:val="single" w:color="auto" w:sz="8" w:space="0"/>
              <w:bottom w:val="single" w:color="000000" w:sz="8" w:space="0"/>
              <w:right w:val="single" w:color="auto" w:sz="8" w:space="0"/>
            </w:tcBorders>
            <w:shd w:val="clear" w:color="auto" w:fill="auto"/>
            <w:vAlign w:val="center"/>
          </w:tcPr>
          <w:p w14:paraId="4C00017D">
            <w:pPr>
              <w:jc w:val="center"/>
              <w:rPr>
                <w:rFonts w:ascii="仿宋" w:hAnsi="仿宋" w:eastAsia="仿宋" w:cs="宋体"/>
                <w:b/>
                <w:bCs/>
                <w:color w:val="000000"/>
              </w:rPr>
            </w:pPr>
            <w:r>
              <w:rPr>
                <w:rFonts w:hint="eastAsia" w:ascii="仿宋" w:hAnsi="仿宋" w:eastAsia="仿宋" w:cs="宋体"/>
                <w:b/>
                <w:bCs/>
                <w:color w:val="000000"/>
              </w:rPr>
              <w:t>经营业态</w:t>
            </w:r>
          </w:p>
        </w:tc>
        <w:tc>
          <w:tcPr>
            <w:tcW w:w="812" w:type="dxa"/>
            <w:vMerge w:val="restart"/>
            <w:tcBorders>
              <w:top w:val="single" w:color="auto" w:sz="8" w:space="0"/>
              <w:left w:val="single" w:color="auto" w:sz="8" w:space="0"/>
              <w:bottom w:val="single" w:color="000000" w:sz="8" w:space="0"/>
              <w:right w:val="single" w:color="auto" w:sz="8" w:space="0"/>
            </w:tcBorders>
            <w:shd w:val="clear" w:color="auto" w:fill="auto"/>
            <w:vAlign w:val="center"/>
          </w:tcPr>
          <w:p w14:paraId="3C90106D">
            <w:pPr>
              <w:jc w:val="center"/>
              <w:rPr>
                <w:rFonts w:ascii="仿宋" w:hAnsi="仿宋" w:eastAsia="仿宋" w:cs="宋体"/>
                <w:b/>
                <w:bCs/>
                <w:color w:val="000000"/>
              </w:rPr>
            </w:pPr>
            <w:r>
              <w:rPr>
                <w:rFonts w:hint="eastAsia" w:ascii="仿宋" w:hAnsi="仿宋" w:eastAsia="仿宋" w:cs="宋体"/>
                <w:b/>
                <w:bCs/>
                <w:color w:val="000000"/>
              </w:rPr>
              <w:t>面积</w:t>
            </w:r>
          </w:p>
        </w:tc>
        <w:tc>
          <w:tcPr>
            <w:tcW w:w="1701" w:type="dxa"/>
            <w:vMerge w:val="restart"/>
            <w:tcBorders>
              <w:top w:val="single" w:color="auto" w:sz="8" w:space="0"/>
              <w:left w:val="single" w:color="auto" w:sz="8" w:space="0"/>
              <w:bottom w:val="single" w:color="000000" w:sz="8" w:space="0"/>
              <w:right w:val="single" w:color="auto" w:sz="8" w:space="0"/>
            </w:tcBorders>
            <w:shd w:val="clear" w:color="auto" w:fill="auto"/>
            <w:vAlign w:val="center"/>
          </w:tcPr>
          <w:p w14:paraId="65569C5A">
            <w:pPr>
              <w:jc w:val="center"/>
              <w:rPr>
                <w:rFonts w:ascii="仿宋" w:hAnsi="仿宋" w:eastAsia="仿宋" w:cs="宋体"/>
                <w:b/>
                <w:bCs/>
                <w:color w:val="000000"/>
              </w:rPr>
            </w:pPr>
            <w:r>
              <w:rPr>
                <w:rFonts w:hint="eastAsia" w:ascii="仿宋" w:hAnsi="仿宋" w:eastAsia="仿宋" w:cs="宋体"/>
                <w:b/>
                <w:bCs/>
                <w:color w:val="000000"/>
              </w:rPr>
              <w:t>首年综合服务费单价招商底价(元/㎡/天)</w:t>
            </w:r>
          </w:p>
        </w:tc>
        <w:tc>
          <w:tcPr>
            <w:tcW w:w="1261" w:type="dxa"/>
            <w:vMerge w:val="restart"/>
            <w:tcBorders>
              <w:top w:val="single" w:color="auto" w:sz="8" w:space="0"/>
              <w:left w:val="single" w:color="auto" w:sz="8" w:space="0"/>
              <w:bottom w:val="single" w:color="000000" w:sz="8" w:space="0"/>
              <w:right w:val="single" w:color="auto" w:sz="8" w:space="0"/>
            </w:tcBorders>
            <w:shd w:val="clear" w:color="auto" w:fill="auto"/>
            <w:vAlign w:val="center"/>
          </w:tcPr>
          <w:p w14:paraId="0147238D">
            <w:pPr>
              <w:jc w:val="center"/>
              <w:rPr>
                <w:rFonts w:ascii="仿宋" w:hAnsi="仿宋" w:eastAsia="仿宋" w:cs="宋体"/>
                <w:b/>
                <w:bCs/>
                <w:color w:val="000000"/>
              </w:rPr>
            </w:pPr>
            <w:r>
              <w:rPr>
                <w:rFonts w:hint="eastAsia" w:ascii="仿宋" w:hAnsi="仿宋" w:eastAsia="仿宋" w:cs="宋体"/>
                <w:b/>
                <w:bCs/>
                <w:color w:val="000000"/>
              </w:rPr>
              <w:t>合同到期时间</w:t>
            </w:r>
          </w:p>
        </w:tc>
      </w:tr>
      <w:tr w14:paraId="5E24EA97">
        <w:tblPrEx>
          <w:tblCellMar>
            <w:top w:w="0" w:type="dxa"/>
            <w:left w:w="108" w:type="dxa"/>
            <w:bottom w:w="0" w:type="dxa"/>
            <w:right w:w="108" w:type="dxa"/>
          </w:tblCellMar>
        </w:tblPrEx>
        <w:trPr>
          <w:trHeight w:val="312" w:hRule="atLeast"/>
          <w:jc w:val="center"/>
        </w:trPr>
        <w:tc>
          <w:tcPr>
            <w:tcW w:w="601" w:type="dxa"/>
            <w:vMerge w:val="continue"/>
            <w:tcBorders>
              <w:top w:val="single" w:color="auto" w:sz="8" w:space="0"/>
              <w:left w:val="single" w:color="auto" w:sz="8" w:space="0"/>
              <w:bottom w:val="single" w:color="auto" w:sz="4" w:space="0"/>
              <w:right w:val="single" w:color="auto" w:sz="8" w:space="0"/>
            </w:tcBorders>
            <w:vAlign w:val="center"/>
          </w:tcPr>
          <w:p w14:paraId="405136D4">
            <w:pPr>
              <w:rPr>
                <w:rFonts w:ascii="仿宋" w:hAnsi="仿宋" w:eastAsia="仿宋" w:cs="宋体"/>
                <w:b/>
                <w:bCs/>
                <w:color w:val="000000"/>
              </w:rPr>
            </w:pPr>
          </w:p>
        </w:tc>
        <w:tc>
          <w:tcPr>
            <w:tcW w:w="1265" w:type="dxa"/>
            <w:vMerge w:val="continue"/>
            <w:tcBorders>
              <w:top w:val="single" w:color="auto" w:sz="8" w:space="0"/>
              <w:left w:val="single" w:color="auto" w:sz="8" w:space="0"/>
              <w:bottom w:val="single" w:color="auto" w:sz="4" w:space="0"/>
              <w:right w:val="single" w:color="auto" w:sz="8" w:space="0"/>
            </w:tcBorders>
            <w:vAlign w:val="center"/>
          </w:tcPr>
          <w:p w14:paraId="48229120">
            <w:pPr>
              <w:rPr>
                <w:rFonts w:ascii="仿宋" w:hAnsi="仿宋" w:eastAsia="仿宋" w:cs="宋体"/>
                <w:b/>
                <w:bCs/>
                <w:color w:val="000000"/>
              </w:rPr>
            </w:pPr>
          </w:p>
        </w:tc>
        <w:tc>
          <w:tcPr>
            <w:tcW w:w="2007" w:type="dxa"/>
            <w:vMerge w:val="continue"/>
            <w:tcBorders>
              <w:top w:val="single" w:color="auto" w:sz="8" w:space="0"/>
              <w:left w:val="single" w:color="auto" w:sz="8" w:space="0"/>
              <w:bottom w:val="single" w:color="000000" w:sz="8" w:space="0"/>
              <w:right w:val="single" w:color="auto" w:sz="8" w:space="0"/>
            </w:tcBorders>
            <w:vAlign w:val="center"/>
          </w:tcPr>
          <w:p w14:paraId="67377E1D">
            <w:pPr>
              <w:rPr>
                <w:rFonts w:ascii="仿宋" w:hAnsi="仿宋" w:eastAsia="仿宋" w:cs="宋体"/>
                <w:b/>
                <w:bCs/>
                <w:color w:val="000000"/>
              </w:rPr>
            </w:pPr>
          </w:p>
        </w:tc>
        <w:tc>
          <w:tcPr>
            <w:tcW w:w="1194" w:type="dxa"/>
            <w:vMerge w:val="continue"/>
            <w:tcBorders>
              <w:top w:val="single" w:color="auto" w:sz="8" w:space="0"/>
              <w:left w:val="single" w:color="auto" w:sz="8" w:space="0"/>
              <w:bottom w:val="single" w:color="000000" w:sz="8" w:space="0"/>
              <w:right w:val="single" w:color="auto" w:sz="8" w:space="0"/>
            </w:tcBorders>
            <w:vAlign w:val="center"/>
          </w:tcPr>
          <w:p w14:paraId="5B6ED577">
            <w:pPr>
              <w:rPr>
                <w:rFonts w:ascii="仿宋" w:hAnsi="仿宋" w:eastAsia="仿宋" w:cs="宋体"/>
                <w:b/>
                <w:bCs/>
                <w:color w:val="000000"/>
              </w:rPr>
            </w:pPr>
          </w:p>
        </w:tc>
        <w:tc>
          <w:tcPr>
            <w:tcW w:w="812" w:type="dxa"/>
            <w:vMerge w:val="continue"/>
            <w:tcBorders>
              <w:top w:val="single" w:color="auto" w:sz="8" w:space="0"/>
              <w:left w:val="single" w:color="auto" w:sz="8" w:space="0"/>
              <w:bottom w:val="single" w:color="000000" w:sz="8" w:space="0"/>
              <w:right w:val="single" w:color="auto" w:sz="8" w:space="0"/>
            </w:tcBorders>
            <w:vAlign w:val="center"/>
          </w:tcPr>
          <w:p w14:paraId="5910979A">
            <w:pPr>
              <w:rPr>
                <w:rFonts w:ascii="仿宋" w:hAnsi="仿宋" w:eastAsia="仿宋" w:cs="宋体"/>
                <w:b/>
                <w:bCs/>
                <w:color w:val="000000"/>
              </w:rPr>
            </w:pPr>
          </w:p>
        </w:tc>
        <w:tc>
          <w:tcPr>
            <w:tcW w:w="1701" w:type="dxa"/>
            <w:vMerge w:val="continue"/>
            <w:tcBorders>
              <w:top w:val="single" w:color="auto" w:sz="8" w:space="0"/>
              <w:left w:val="single" w:color="auto" w:sz="8" w:space="0"/>
              <w:bottom w:val="single" w:color="000000" w:sz="8" w:space="0"/>
              <w:right w:val="single" w:color="auto" w:sz="8" w:space="0"/>
            </w:tcBorders>
            <w:vAlign w:val="center"/>
          </w:tcPr>
          <w:p w14:paraId="5AAADB52">
            <w:pPr>
              <w:rPr>
                <w:rFonts w:ascii="仿宋" w:hAnsi="仿宋" w:eastAsia="仿宋" w:cs="宋体"/>
                <w:b/>
                <w:bCs/>
                <w:color w:val="000000"/>
              </w:rPr>
            </w:pPr>
          </w:p>
        </w:tc>
        <w:tc>
          <w:tcPr>
            <w:tcW w:w="1261" w:type="dxa"/>
            <w:vMerge w:val="continue"/>
            <w:tcBorders>
              <w:top w:val="single" w:color="auto" w:sz="8" w:space="0"/>
              <w:left w:val="single" w:color="auto" w:sz="8" w:space="0"/>
              <w:bottom w:val="single" w:color="000000" w:sz="8" w:space="0"/>
              <w:right w:val="single" w:color="auto" w:sz="8" w:space="0"/>
            </w:tcBorders>
            <w:vAlign w:val="center"/>
          </w:tcPr>
          <w:p w14:paraId="24194D5D">
            <w:pPr>
              <w:rPr>
                <w:rFonts w:ascii="仿宋" w:hAnsi="仿宋" w:eastAsia="仿宋" w:cs="宋体"/>
                <w:b/>
                <w:bCs/>
                <w:color w:val="000000"/>
              </w:rPr>
            </w:pPr>
          </w:p>
        </w:tc>
      </w:tr>
      <w:tr w14:paraId="0F387907">
        <w:tblPrEx>
          <w:tblCellMar>
            <w:top w:w="0" w:type="dxa"/>
            <w:left w:w="108" w:type="dxa"/>
            <w:bottom w:w="0" w:type="dxa"/>
            <w:right w:w="108" w:type="dxa"/>
          </w:tblCellMar>
        </w:tblPrEx>
        <w:trPr>
          <w:trHeight w:val="285" w:hRule="atLeast"/>
          <w:jc w:val="center"/>
        </w:trPr>
        <w:tc>
          <w:tcPr>
            <w:tcW w:w="601" w:type="dxa"/>
            <w:tcBorders>
              <w:top w:val="nil"/>
              <w:left w:val="single" w:color="auto" w:sz="8" w:space="0"/>
              <w:bottom w:val="nil"/>
              <w:right w:val="single" w:color="auto" w:sz="8" w:space="0"/>
            </w:tcBorders>
            <w:shd w:val="clear" w:color="auto" w:fill="auto"/>
            <w:vAlign w:val="center"/>
          </w:tcPr>
          <w:p w14:paraId="5938FA74">
            <w:pPr>
              <w:jc w:val="center"/>
              <w:rPr>
                <w:rFonts w:ascii="仿宋" w:hAnsi="仿宋" w:eastAsia="仿宋" w:cs="宋体"/>
                <w:color w:val="000000"/>
              </w:rPr>
            </w:pPr>
            <w:r>
              <w:rPr>
                <w:rFonts w:hint="eastAsia" w:ascii="仿宋" w:hAnsi="仿宋" w:eastAsia="仿宋" w:cs="宋体"/>
                <w:color w:val="000000"/>
              </w:rPr>
              <w:t>1</w:t>
            </w:r>
          </w:p>
        </w:tc>
        <w:tc>
          <w:tcPr>
            <w:tcW w:w="1265" w:type="dxa"/>
            <w:tcBorders>
              <w:top w:val="nil"/>
              <w:left w:val="nil"/>
              <w:bottom w:val="nil"/>
              <w:right w:val="single" w:color="auto" w:sz="8" w:space="0"/>
            </w:tcBorders>
            <w:shd w:val="clear" w:color="auto" w:fill="auto"/>
            <w:vAlign w:val="center"/>
          </w:tcPr>
          <w:p w14:paraId="07586A33">
            <w:pPr>
              <w:jc w:val="center"/>
              <w:rPr>
                <w:rFonts w:hint="eastAsia" w:ascii="仿宋" w:hAnsi="仿宋" w:eastAsia="仿宋" w:cs="宋体"/>
                <w:color w:val="000000"/>
                <w:lang w:eastAsia="zh-CN"/>
              </w:rPr>
            </w:pPr>
            <w:r>
              <w:rPr>
                <w:rFonts w:hint="eastAsia" w:hAnsi="仿宋_GB2312" w:cs="仿宋_GB2312"/>
                <w:color w:val="000000"/>
                <w:sz w:val="18"/>
                <w:szCs w:val="18"/>
                <w:lang w:eastAsia="zh-CN"/>
              </w:rPr>
              <w:t>合肥南</w:t>
            </w:r>
            <w:r>
              <w:rPr>
                <w:rFonts w:hint="eastAsia" w:ascii="仿宋_GB2312" w:hAnsi="仿宋_GB2312" w:eastAsia="仿宋_GB2312" w:cs="仿宋_GB2312"/>
                <w:color w:val="000000"/>
                <w:sz w:val="18"/>
                <w:szCs w:val="18"/>
              </w:rPr>
              <w:t>站</w:t>
            </w:r>
          </w:p>
        </w:tc>
        <w:tc>
          <w:tcPr>
            <w:tcW w:w="2007" w:type="dxa"/>
            <w:tcBorders>
              <w:top w:val="nil"/>
              <w:left w:val="nil"/>
              <w:bottom w:val="nil"/>
              <w:right w:val="single" w:color="auto" w:sz="8" w:space="0"/>
            </w:tcBorders>
            <w:shd w:val="clear" w:color="auto" w:fill="auto"/>
            <w:noWrap/>
            <w:vAlign w:val="center"/>
          </w:tcPr>
          <w:p w14:paraId="58D88A88">
            <w:pPr>
              <w:widowControl/>
              <w:jc w:val="center"/>
              <w:textAlignment w:val="auto"/>
              <w:rPr>
                <w:rFonts w:ascii="仿宋" w:hAnsi="仿宋" w:eastAsia="仿宋" w:cs="宋体"/>
                <w:color w:val="000000"/>
              </w:rPr>
            </w:pPr>
            <w:r>
              <w:rPr>
                <w:rFonts w:hint="eastAsia" w:ascii="仿宋_GB2312" w:hAnsi="仿宋_GB2312" w:eastAsia="仿宋_GB2312" w:cs="仿宋_GB2312"/>
                <w:i w:val="0"/>
                <w:iCs w:val="0"/>
                <w:color w:val="000000"/>
                <w:kern w:val="2"/>
                <w:sz w:val="18"/>
                <w:szCs w:val="18"/>
                <w:u w:val="none"/>
                <w:lang w:val="en-US" w:eastAsia="zh-CN" w:bidi="ar"/>
              </w:rPr>
              <w:t>HFN-2F-VIP-01</w:t>
            </w:r>
          </w:p>
        </w:tc>
        <w:tc>
          <w:tcPr>
            <w:tcW w:w="1194" w:type="dxa"/>
            <w:tcBorders>
              <w:top w:val="nil"/>
              <w:left w:val="nil"/>
              <w:bottom w:val="nil"/>
              <w:right w:val="single" w:color="auto" w:sz="8" w:space="0"/>
            </w:tcBorders>
            <w:shd w:val="clear" w:color="auto" w:fill="auto"/>
            <w:noWrap/>
            <w:vAlign w:val="center"/>
          </w:tcPr>
          <w:p w14:paraId="3E323F09">
            <w:pPr>
              <w:jc w:val="center"/>
              <w:rPr>
                <w:rFonts w:hint="default" w:ascii="仿宋" w:hAnsi="仿宋" w:eastAsia="仿宋" w:cs="宋体"/>
                <w:color w:val="000000"/>
                <w:lang w:val="en-US" w:eastAsia="zh-CN"/>
              </w:rPr>
            </w:pPr>
            <w:r>
              <w:rPr>
                <w:rFonts w:hint="eastAsia" w:ascii="仿宋_GB2312" w:hAnsi="仿宋_GB2312" w:eastAsia="仿宋_GB2312" w:cs="仿宋_GB2312"/>
                <w:color w:val="000000"/>
                <w:sz w:val="18"/>
                <w:szCs w:val="18"/>
              </w:rPr>
              <w:t>商业VIP厅</w:t>
            </w:r>
          </w:p>
        </w:tc>
        <w:tc>
          <w:tcPr>
            <w:tcW w:w="812" w:type="dxa"/>
            <w:tcBorders>
              <w:top w:val="nil"/>
              <w:left w:val="nil"/>
              <w:bottom w:val="nil"/>
              <w:right w:val="single" w:color="auto" w:sz="8" w:space="0"/>
            </w:tcBorders>
            <w:shd w:val="clear" w:color="auto" w:fill="auto"/>
            <w:vAlign w:val="center"/>
          </w:tcPr>
          <w:p w14:paraId="39D899CB">
            <w:pPr>
              <w:jc w:val="center"/>
              <w:rPr>
                <w:rFonts w:hint="default" w:ascii="仿宋" w:hAnsi="仿宋" w:eastAsia="仿宋" w:cs="宋体"/>
                <w:color w:val="000000"/>
                <w:lang w:val="en-US" w:eastAsia="zh-CN"/>
              </w:rPr>
            </w:pPr>
            <w:r>
              <w:rPr>
                <w:rFonts w:hint="eastAsia" w:hAnsi="仿宋_GB2312" w:cs="仿宋_GB2312"/>
                <w:color w:val="000000"/>
                <w:sz w:val="18"/>
                <w:szCs w:val="18"/>
                <w:lang w:val="en-US" w:eastAsia="zh-CN"/>
              </w:rPr>
              <w:t>117.96</w:t>
            </w:r>
          </w:p>
        </w:tc>
        <w:tc>
          <w:tcPr>
            <w:tcW w:w="1701" w:type="dxa"/>
            <w:tcBorders>
              <w:top w:val="nil"/>
              <w:left w:val="nil"/>
              <w:bottom w:val="nil"/>
              <w:right w:val="single" w:color="auto" w:sz="8" w:space="0"/>
            </w:tcBorders>
            <w:shd w:val="clear" w:color="auto" w:fill="auto"/>
            <w:noWrap/>
            <w:vAlign w:val="center"/>
          </w:tcPr>
          <w:p w14:paraId="719CBA17">
            <w:pPr>
              <w:widowControl/>
              <w:jc w:val="center"/>
              <w:rPr>
                <w:rFonts w:hint="default" w:ascii="仿宋" w:hAnsi="仿宋" w:eastAsia="仿宋" w:cs="宋体"/>
                <w:color w:val="000000"/>
                <w:lang w:val="en-US" w:eastAsia="zh-CN"/>
              </w:rPr>
            </w:pPr>
            <w:r>
              <w:rPr>
                <w:rFonts w:hint="eastAsia" w:hAnsi="仿宋_GB2312" w:cs="仿宋_GB2312"/>
                <w:color w:val="000000"/>
                <w:sz w:val="18"/>
                <w:szCs w:val="18"/>
                <w:lang w:val="en-US" w:eastAsia="zh-CN" w:bidi="ar"/>
              </w:rPr>
              <w:t>15.9</w:t>
            </w:r>
          </w:p>
        </w:tc>
        <w:tc>
          <w:tcPr>
            <w:tcW w:w="1261" w:type="dxa"/>
            <w:tcBorders>
              <w:top w:val="nil"/>
              <w:left w:val="nil"/>
              <w:bottom w:val="nil"/>
              <w:right w:val="single" w:color="auto" w:sz="8" w:space="0"/>
            </w:tcBorders>
            <w:shd w:val="clear" w:color="auto" w:fill="auto"/>
            <w:noWrap/>
            <w:vAlign w:val="center"/>
          </w:tcPr>
          <w:p w14:paraId="663B39B1">
            <w:pPr>
              <w:widowControl/>
              <w:jc w:val="center"/>
              <w:rPr>
                <w:rFonts w:hint="eastAsia" w:ascii="仿宋" w:hAnsi="仿宋" w:eastAsia="仿宋" w:cs="宋体"/>
                <w:color w:val="000000"/>
                <w:lang w:val="en-US" w:eastAsia="zh-CN"/>
              </w:rPr>
            </w:pPr>
            <w:r>
              <w:rPr>
                <w:rFonts w:hint="eastAsia" w:hAnsi="仿宋_GB2312" w:cs="仿宋_GB2312"/>
                <w:color w:val="000000"/>
                <w:sz w:val="18"/>
                <w:szCs w:val="18"/>
                <w:lang w:val="en-US" w:eastAsia="zh-CN" w:bidi="ar"/>
              </w:rPr>
              <w:t>2025.10.31</w:t>
            </w:r>
          </w:p>
        </w:tc>
      </w:tr>
      <w:tr w14:paraId="67D8A533">
        <w:tblPrEx>
          <w:tblCellMar>
            <w:top w:w="0" w:type="dxa"/>
            <w:left w:w="108" w:type="dxa"/>
            <w:bottom w:w="0" w:type="dxa"/>
            <w:right w:w="108" w:type="dxa"/>
          </w:tblCellMar>
        </w:tblPrEx>
        <w:trPr>
          <w:trHeight w:val="285" w:hRule="atLeast"/>
          <w:jc w:val="center"/>
        </w:trPr>
        <w:tc>
          <w:tcPr>
            <w:tcW w:w="601" w:type="dxa"/>
            <w:tcBorders>
              <w:top w:val="nil"/>
              <w:left w:val="single" w:color="auto" w:sz="8" w:space="0"/>
              <w:bottom w:val="single" w:color="auto" w:sz="4" w:space="0"/>
              <w:right w:val="single" w:color="auto" w:sz="8" w:space="0"/>
            </w:tcBorders>
            <w:shd w:val="clear" w:color="auto" w:fill="auto"/>
            <w:vAlign w:val="center"/>
          </w:tcPr>
          <w:p w14:paraId="6ACE8AE4">
            <w:pPr>
              <w:jc w:val="center"/>
              <w:rPr>
                <w:rFonts w:hint="eastAsia" w:ascii="仿宋" w:hAnsi="仿宋" w:eastAsia="仿宋" w:cs="宋体"/>
                <w:color w:val="000000"/>
                <w:lang w:val="en-US" w:eastAsia="zh-CN"/>
              </w:rPr>
            </w:pPr>
            <w:bookmarkStart w:id="742" w:name="_Ref434458987"/>
            <w:r>
              <w:rPr>
                <w:rFonts w:hint="eastAsia" w:ascii="仿宋" w:hAnsi="仿宋" w:eastAsia="仿宋" w:cs="宋体"/>
                <w:color w:val="000000"/>
                <w:lang w:val="en-US" w:eastAsia="zh-CN"/>
              </w:rPr>
              <w:t>2</w:t>
            </w:r>
          </w:p>
        </w:tc>
        <w:tc>
          <w:tcPr>
            <w:tcW w:w="1265" w:type="dxa"/>
            <w:tcBorders>
              <w:top w:val="nil"/>
              <w:left w:val="nil"/>
              <w:bottom w:val="single" w:color="auto" w:sz="4" w:space="0"/>
              <w:right w:val="single" w:color="auto" w:sz="8" w:space="0"/>
            </w:tcBorders>
            <w:shd w:val="clear" w:color="auto" w:fill="auto"/>
            <w:vAlign w:val="center"/>
          </w:tcPr>
          <w:p w14:paraId="364977FC">
            <w:pPr>
              <w:jc w:val="center"/>
              <w:rPr>
                <w:rFonts w:hint="eastAsia" w:ascii="仿宋" w:hAnsi="仿宋" w:eastAsia="仿宋" w:cs="宋体"/>
                <w:color w:val="000000"/>
                <w:lang w:eastAsia="zh-CN"/>
              </w:rPr>
            </w:pPr>
            <w:r>
              <w:rPr>
                <w:rFonts w:hint="eastAsia" w:hAnsi="仿宋_GB2312" w:cs="仿宋_GB2312"/>
                <w:color w:val="000000"/>
                <w:sz w:val="18"/>
                <w:szCs w:val="18"/>
                <w:lang w:eastAsia="zh-CN"/>
              </w:rPr>
              <w:t>合肥南</w:t>
            </w:r>
            <w:r>
              <w:rPr>
                <w:rFonts w:hint="eastAsia" w:ascii="仿宋_GB2312" w:hAnsi="仿宋_GB2312" w:eastAsia="仿宋_GB2312" w:cs="仿宋_GB2312"/>
                <w:color w:val="000000"/>
                <w:sz w:val="18"/>
                <w:szCs w:val="18"/>
              </w:rPr>
              <w:t>站</w:t>
            </w:r>
          </w:p>
        </w:tc>
        <w:tc>
          <w:tcPr>
            <w:tcW w:w="2007" w:type="dxa"/>
            <w:tcBorders>
              <w:top w:val="nil"/>
              <w:left w:val="nil"/>
              <w:bottom w:val="single" w:color="auto" w:sz="4" w:space="0"/>
              <w:right w:val="single" w:color="auto" w:sz="8" w:space="0"/>
            </w:tcBorders>
            <w:shd w:val="clear" w:color="auto" w:fill="auto"/>
            <w:noWrap/>
            <w:vAlign w:val="center"/>
          </w:tcPr>
          <w:p w14:paraId="6868D77B">
            <w:pPr>
              <w:widowControl/>
              <w:jc w:val="center"/>
              <w:textAlignment w:val="auto"/>
              <w:rPr>
                <w:rFonts w:hint="eastAsia" w:ascii="仿宋" w:hAnsi="仿宋" w:eastAsia="仿宋" w:cs="宋体"/>
                <w:color w:val="000000"/>
              </w:rPr>
            </w:pPr>
            <w:r>
              <w:rPr>
                <w:rFonts w:hint="eastAsia" w:ascii="仿宋_GB2312" w:hAnsi="仿宋_GB2312" w:eastAsia="仿宋_GB2312" w:cs="仿宋_GB2312"/>
                <w:i w:val="0"/>
                <w:iCs w:val="0"/>
                <w:color w:val="000000"/>
                <w:kern w:val="2"/>
                <w:sz w:val="18"/>
                <w:szCs w:val="18"/>
                <w:u w:val="none"/>
                <w:lang w:val="en-US" w:eastAsia="zh-CN" w:bidi="ar"/>
              </w:rPr>
              <w:t>HFN-2F-VIP-03</w:t>
            </w:r>
          </w:p>
        </w:tc>
        <w:tc>
          <w:tcPr>
            <w:tcW w:w="1194" w:type="dxa"/>
            <w:tcBorders>
              <w:top w:val="nil"/>
              <w:left w:val="nil"/>
              <w:bottom w:val="single" w:color="auto" w:sz="4" w:space="0"/>
              <w:right w:val="single" w:color="auto" w:sz="8" w:space="0"/>
            </w:tcBorders>
            <w:shd w:val="clear" w:color="auto" w:fill="auto"/>
            <w:noWrap/>
            <w:vAlign w:val="center"/>
          </w:tcPr>
          <w:p w14:paraId="54649EDC">
            <w:pPr>
              <w:jc w:val="center"/>
              <w:rPr>
                <w:rFonts w:hint="eastAsia" w:ascii="仿宋" w:hAnsi="仿宋" w:eastAsia="仿宋" w:cs="宋体"/>
                <w:color w:val="000000"/>
                <w:lang w:eastAsia="zh-CN"/>
              </w:rPr>
            </w:pPr>
            <w:r>
              <w:rPr>
                <w:rFonts w:hint="eastAsia" w:ascii="仿宋_GB2312" w:hAnsi="仿宋_GB2312" w:eastAsia="仿宋_GB2312" w:cs="仿宋_GB2312"/>
                <w:color w:val="000000"/>
                <w:sz w:val="18"/>
                <w:szCs w:val="18"/>
              </w:rPr>
              <w:t>商业VIP厅</w:t>
            </w:r>
          </w:p>
        </w:tc>
        <w:tc>
          <w:tcPr>
            <w:tcW w:w="812" w:type="dxa"/>
            <w:tcBorders>
              <w:top w:val="nil"/>
              <w:left w:val="nil"/>
              <w:bottom w:val="single" w:color="auto" w:sz="4" w:space="0"/>
              <w:right w:val="single" w:color="auto" w:sz="8" w:space="0"/>
            </w:tcBorders>
            <w:shd w:val="clear" w:color="auto" w:fill="auto"/>
            <w:vAlign w:val="center"/>
          </w:tcPr>
          <w:p w14:paraId="0F280172">
            <w:pPr>
              <w:jc w:val="center"/>
              <w:rPr>
                <w:rFonts w:hint="eastAsia" w:ascii="仿宋" w:hAnsi="仿宋" w:eastAsia="仿宋" w:cs="宋体"/>
                <w:color w:val="000000"/>
                <w:lang w:val="en-US" w:eastAsia="zh-CN"/>
              </w:rPr>
            </w:pPr>
            <w:r>
              <w:rPr>
                <w:rFonts w:hint="eastAsia" w:hAnsi="仿宋_GB2312" w:cs="仿宋_GB2312"/>
                <w:color w:val="000000"/>
                <w:sz w:val="18"/>
                <w:szCs w:val="18"/>
                <w:lang w:val="en-US" w:eastAsia="zh-CN"/>
              </w:rPr>
              <w:t>97.83</w:t>
            </w:r>
          </w:p>
        </w:tc>
        <w:tc>
          <w:tcPr>
            <w:tcW w:w="1701" w:type="dxa"/>
            <w:tcBorders>
              <w:top w:val="nil"/>
              <w:left w:val="nil"/>
              <w:bottom w:val="single" w:color="auto" w:sz="4" w:space="0"/>
              <w:right w:val="single" w:color="auto" w:sz="8" w:space="0"/>
            </w:tcBorders>
            <w:shd w:val="clear" w:color="auto" w:fill="auto"/>
            <w:noWrap/>
            <w:vAlign w:val="center"/>
          </w:tcPr>
          <w:p w14:paraId="7CC562C8">
            <w:pPr>
              <w:widowControl/>
              <w:jc w:val="center"/>
              <w:rPr>
                <w:rFonts w:hint="eastAsia" w:ascii="仿宋" w:hAnsi="仿宋" w:eastAsia="仿宋" w:cs="宋体"/>
                <w:color w:val="000000"/>
                <w:sz w:val="18"/>
                <w:szCs w:val="18"/>
                <w:lang w:val="en-US" w:eastAsia="zh-CN"/>
              </w:rPr>
            </w:pPr>
            <w:r>
              <w:rPr>
                <w:rFonts w:hint="eastAsia" w:hAnsi="仿宋_GB2312" w:cs="仿宋_GB2312"/>
                <w:color w:val="000000"/>
                <w:sz w:val="18"/>
                <w:szCs w:val="18"/>
                <w:lang w:val="en-US" w:eastAsia="zh-CN" w:bidi="ar"/>
              </w:rPr>
              <w:t>24.01</w:t>
            </w:r>
          </w:p>
        </w:tc>
        <w:tc>
          <w:tcPr>
            <w:tcW w:w="1261" w:type="dxa"/>
            <w:tcBorders>
              <w:top w:val="nil"/>
              <w:left w:val="nil"/>
              <w:bottom w:val="single" w:color="auto" w:sz="4" w:space="0"/>
              <w:right w:val="single" w:color="auto" w:sz="8" w:space="0"/>
            </w:tcBorders>
            <w:shd w:val="clear" w:color="auto" w:fill="auto"/>
            <w:noWrap/>
            <w:vAlign w:val="center"/>
          </w:tcPr>
          <w:p w14:paraId="146A846E">
            <w:pPr>
              <w:widowControl/>
              <w:jc w:val="center"/>
              <w:rPr>
                <w:rFonts w:hint="default" w:ascii="仿宋" w:hAnsi="仿宋" w:eastAsia="仿宋" w:cs="宋体"/>
                <w:color w:val="000000"/>
                <w:sz w:val="18"/>
                <w:szCs w:val="18"/>
                <w:lang w:val="en-US"/>
              </w:rPr>
            </w:pPr>
            <w:r>
              <w:rPr>
                <w:rFonts w:hint="eastAsia" w:hAnsi="仿宋_GB2312" w:cs="仿宋_GB2312"/>
                <w:color w:val="000000"/>
                <w:sz w:val="18"/>
                <w:szCs w:val="18"/>
                <w:lang w:val="en-US" w:eastAsia="zh-CN" w:bidi="ar"/>
              </w:rPr>
              <w:t>2025.11.30</w:t>
            </w:r>
          </w:p>
        </w:tc>
      </w:tr>
    </w:tbl>
    <w:p w14:paraId="033351A5">
      <w:pPr>
        <w:spacing w:after="240" w:line="360" w:lineRule="auto"/>
        <w:rPr>
          <w:bCs/>
          <w:color w:val="000000" w:themeColor="text1"/>
          <w:szCs w:val="20"/>
        </w:rPr>
      </w:pPr>
    </w:p>
    <w:p w14:paraId="3D4FFA3F">
      <w:pPr>
        <w:spacing w:line="500" w:lineRule="exact"/>
        <w:ind w:firstLine="480" w:firstLineChars="200"/>
        <w:rPr>
          <w:color w:val="000000" w:themeColor="text1"/>
        </w:rPr>
      </w:pPr>
      <w:r>
        <w:rPr>
          <w:rFonts w:hint="eastAsia"/>
          <w:color w:val="000000" w:themeColor="text1"/>
        </w:rPr>
        <w:t>本招商文件中列出的规划面积、位置等信息仅供参考，不作为最终依据。具体以实地勘量后双方签认的合同文本信息为准。</w:t>
      </w:r>
    </w:p>
    <w:p w14:paraId="48B3136A">
      <w:pPr>
        <w:spacing w:line="500" w:lineRule="exact"/>
        <w:ind w:firstLine="480" w:firstLineChars="200"/>
        <w:rPr>
          <w:color w:val="000000" w:themeColor="text1"/>
        </w:rPr>
      </w:pPr>
      <w:r>
        <w:rPr>
          <w:rFonts w:hint="eastAsia"/>
          <w:color w:val="000000" w:themeColor="text1"/>
        </w:rPr>
        <w:t xml:space="preserve"> 合同价款支付：</w:t>
      </w:r>
    </w:p>
    <w:p w14:paraId="73C39497">
      <w:pPr>
        <w:spacing w:line="500" w:lineRule="exact"/>
        <w:ind w:firstLine="480" w:firstLineChars="200"/>
        <w:rPr>
          <w:color w:val="000000" w:themeColor="text1"/>
        </w:rPr>
      </w:pPr>
      <w:r>
        <w:rPr>
          <w:rFonts w:hint="eastAsia"/>
          <w:color w:val="000000" w:themeColor="text1"/>
        </w:rPr>
        <w:t>（1）综合服务费（综合服务费单价*面积*365）先付后用。</w:t>
      </w:r>
    </w:p>
    <w:p w14:paraId="756A456D">
      <w:pPr>
        <w:spacing w:line="500" w:lineRule="exact"/>
        <w:ind w:firstLine="480" w:firstLineChars="200"/>
        <w:rPr>
          <w:color w:val="000000" w:themeColor="text1"/>
        </w:rPr>
      </w:pPr>
      <w:r>
        <w:rPr>
          <w:rFonts w:hint="eastAsia"/>
          <w:color w:val="000000" w:themeColor="text1"/>
        </w:rPr>
        <w:t>（2）中商人应向招商人支付履约保证金，计算方式为：年度最高合同金额的25%。</w:t>
      </w:r>
    </w:p>
    <w:p w14:paraId="64AF09CE">
      <w:pPr>
        <w:spacing w:line="500" w:lineRule="exact"/>
        <w:ind w:firstLine="480" w:firstLineChars="200"/>
        <w:rPr>
          <w:color w:val="000000" w:themeColor="text1"/>
        </w:rPr>
      </w:pPr>
      <w:r>
        <w:rPr>
          <w:rFonts w:hint="eastAsia"/>
          <w:color w:val="000000" w:themeColor="text1"/>
        </w:rPr>
        <w:t>具体合同价款支付、计费标准等详见（铁路经营场所租赁和服务合同）。</w:t>
      </w:r>
    </w:p>
    <w:p w14:paraId="496A0772">
      <w:pPr>
        <w:spacing w:line="500" w:lineRule="exact"/>
        <w:ind w:firstLine="480" w:firstLineChars="200"/>
        <w:rPr>
          <w:color w:val="000000" w:themeColor="text1"/>
        </w:rPr>
      </w:pPr>
      <w:r>
        <w:rPr>
          <w:rFonts w:hint="eastAsia"/>
          <w:color w:val="000000" w:themeColor="text1"/>
        </w:rPr>
        <w:t>（3）综合服务费单价年递增比例为</w:t>
      </w:r>
      <w:bookmarkStart w:id="743" w:name="OLE_LINK15"/>
      <w:r>
        <w:rPr>
          <w:rFonts w:hint="eastAsia"/>
          <w:color w:val="000000" w:themeColor="text1"/>
        </w:rPr>
        <w:t>2%、3%、4%、5%（由竞商人根据竞商实际自行决定）</w:t>
      </w:r>
      <w:bookmarkEnd w:id="743"/>
      <w:r>
        <w:rPr>
          <w:rFonts w:hint="eastAsia"/>
          <w:color w:val="000000" w:themeColor="text1"/>
        </w:rPr>
        <w:t>。</w:t>
      </w:r>
    </w:p>
    <w:bookmarkEnd w:id="734"/>
    <w:bookmarkEnd w:id="735"/>
    <w:bookmarkEnd w:id="736"/>
    <w:bookmarkEnd w:id="737"/>
    <w:bookmarkEnd w:id="738"/>
    <w:bookmarkEnd w:id="739"/>
    <w:bookmarkEnd w:id="740"/>
    <w:bookmarkEnd w:id="741"/>
    <w:bookmarkEnd w:id="742"/>
    <w:p w14:paraId="67D4C888">
      <w:pPr>
        <w:numPr>
          <w:ilvl w:val="1"/>
          <w:numId w:val="1"/>
        </w:numPr>
        <w:spacing w:line="500" w:lineRule="exact"/>
        <w:ind w:left="-240" w:leftChars="0" w:firstLineChars="0"/>
        <w:rPr>
          <w:color w:val="000000" w:themeColor="text1"/>
        </w:rPr>
      </w:pPr>
      <w:bookmarkStart w:id="744" w:name="_Ref213916857"/>
      <w:r>
        <w:rPr>
          <w:rFonts w:hint="eastAsia"/>
          <w:color w:val="000000" w:themeColor="text1"/>
        </w:rPr>
        <w:t>招商人将按第一章规定的时间和地点组织评审。竞商人法定代表人或其委托代理人应当参加，参加评审的代表应签名报到以证明其出席。参加报价的竞商人法定代表人或其委托代理人，应当随身携带本人身份证明原件，每家竞商人至多派一名代表参加会议。</w:t>
      </w:r>
    </w:p>
    <w:p w14:paraId="01CA90E2">
      <w:pPr>
        <w:numPr>
          <w:ilvl w:val="1"/>
          <w:numId w:val="1"/>
        </w:numPr>
        <w:spacing w:line="560" w:lineRule="exact"/>
        <w:ind w:left="-240" w:leftChars="0" w:firstLine="480" w:firstLineChars="0"/>
        <w:rPr>
          <w:color w:val="000000" w:themeColor="text1"/>
        </w:rPr>
      </w:pPr>
      <w:r>
        <w:rPr>
          <w:rFonts w:hint="eastAsia"/>
          <w:color w:val="000000" w:themeColor="text1"/>
        </w:rPr>
        <w:t>提交了符合要求的“撤回”通知的竞商文件将不予启封。评审采用均值计分法来计算排名，统计时按所有评委对某一竞商人评审得分的算术平均值由高到低排序，得分最高者推选为中商候选人</w:t>
      </w:r>
      <w:r>
        <w:rPr>
          <w:color w:val="000000" w:themeColor="text1"/>
        </w:rPr>
        <w:t>。</w:t>
      </w:r>
      <w:r>
        <w:rPr>
          <w:rFonts w:hint="eastAsia"/>
          <w:color w:val="000000" w:themeColor="text1"/>
        </w:rPr>
        <w:t>招商评审中出现同分的情况，以商务条件报价、企业资质财务状况、品牌规模、经营情况、运营方案、形象方案、安全管理体系的分数依序由高到低排序，直至决定该项目竟商人排名顺序。若都相同则由评审小组举手表决，来决定该项目的候选中商人的排名顺序。</w:t>
      </w:r>
    </w:p>
    <w:p w14:paraId="7CA96BFE">
      <w:pPr>
        <w:numPr>
          <w:ilvl w:val="1"/>
          <w:numId w:val="1"/>
        </w:numPr>
        <w:spacing w:line="560" w:lineRule="exact"/>
        <w:ind w:left="-240" w:leftChars="0" w:firstLine="480" w:firstLineChars="0"/>
        <w:rPr>
          <w:color w:val="000000" w:themeColor="text1"/>
        </w:rPr>
      </w:pPr>
      <w:r>
        <w:rPr>
          <w:rFonts w:hint="eastAsia"/>
          <w:color w:val="000000" w:themeColor="text1"/>
        </w:rPr>
        <w:t>招商人根据竞商人的竞商报价、年度递增率、付款周期、修改或撤回竞商文件的书面通知、是否提交了竞商保证金，以及招商人认为合适的其他内容进行评审。招商人做好相应记录。若本次招商经符合性审查和资格审查合格，实际参与竞商人仅为</w:t>
      </w:r>
      <w:r>
        <w:rPr>
          <w:color w:val="000000" w:themeColor="text1"/>
        </w:rPr>
        <w:t>1</w:t>
      </w:r>
      <w:r>
        <w:rPr>
          <w:rFonts w:hint="eastAsia"/>
          <w:color w:val="000000" w:themeColor="text1"/>
        </w:rPr>
        <w:t>家时转为商务洽谈，实际参与竞商人仅为</w:t>
      </w:r>
      <w:r>
        <w:rPr>
          <w:color w:val="000000" w:themeColor="text1"/>
        </w:rPr>
        <w:t>2</w:t>
      </w:r>
      <w:r>
        <w:rPr>
          <w:rFonts w:hint="eastAsia"/>
          <w:color w:val="000000" w:themeColor="text1"/>
        </w:rPr>
        <w:t>家时，采用“三轮竞价法”进行竞价评审。第一轮竞价在竞商文件中提交,第二轮竞价由竞商人现场竞价，在提交的第一轮其他商务条件不变的前提下，对综合服务费（综合服务费单价×面积×365）进行第二轮报价，加价幅</w:t>
      </w:r>
      <w:r>
        <w:rPr>
          <w:rFonts w:hint="eastAsia"/>
          <w:color w:val="auto"/>
        </w:rPr>
        <w:t>度为</w:t>
      </w:r>
      <w:r>
        <w:rPr>
          <w:rFonts w:hint="eastAsia"/>
          <w:color w:val="auto"/>
          <w:lang w:val="en-US" w:eastAsia="zh-CN"/>
        </w:rPr>
        <w:t>10000元的</w:t>
      </w:r>
      <w:r>
        <w:rPr>
          <w:rFonts w:hint="eastAsia"/>
          <w:color w:val="auto"/>
        </w:rPr>
        <w:t>整</w:t>
      </w:r>
      <w:r>
        <w:rPr>
          <w:rFonts w:hint="eastAsia"/>
          <w:color w:val="000000" w:themeColor="text1"/>
        </w:rPr>
        <w:t>数倍,当场唱标后,在第二轮报价基础上,进行第三轮竞价,综合计算三年合同期价高者(根据综合服务费、递增比例、装修免租期因素)推荐为候选中商人,每轮竞价时长为10分钟。</w:t>
      </w:r>
    </w:p>
    <w:p w14:paraId="5775920A">
      <w:pPr>
        <w:numPr>
          <w:ilvl w:val="1"/>
          <w:numId w:val="1"/>
        </w:numPr>
        <w:spacing w:line="560" w:lineRule="exact"/>
        <w:ind w:left="-240" w:leftChars="0" w:firstLine="480" w:firstLineChars="0"/>
        <w:rPr>
          <w:color w:val="000000" w:themeColor="text1"/>
        </w:rPr>
      </w:pPr>
      <w:r>
        <w:rPr>
          <w:rFonts w:hint="eastAsia"/>
          <w:color w:val="000000" w:themeColor="text1"/>
        </w:rPr>
        <w:t>评审小组</w:t>
      </w:r>
    </w:p>
    <w:p w14:paraId="66977996">
      <w:pPr>
        <w:pStyle w:val="2"/>
        <w:numPr>
          <w:ilvl w:val="0"/>
          <w:numId w:val="0"/>
        </w:numPr>
        <w:spacing w:line="500" w:lineRule="exact"/>
        <w:rPr>
          <w:rFonts w:ascii="Times New Roman" w:eastAsia="宋体"/>
          <w:color w:val="000000" w:themeColor="text1"/>
          <w:kern w:val="0"/>
          <w:szCs w:val="24"/>
        </w:rPr>
      </w:pPr>
      <w:r>
        <w:rPr>
          <w:rFonts w:hint="eastAsia"/>
          <w:color w:val="000000" w:themeColor="text1"/>
        </w:rPr>
        <w:t>19.4.1</w:t>
      </w:r>
      <w:r>
        <w:rPr>
          <w:rFonts w:hint="eastAsia" w:ascii="Times New Roman" w:eastAsia="宋体"/>
          <w:color w:val="000000" w:themeColor="text1"/>
          <w:kern w:val="0"/>
          <w:szCs w:val="24"/>
        </w:rPr>
        <w:t>评审小组将参照依法必须进行竞商项目的评审委员会的组建方式进行组建，其中招商人指派代表1名，其他4名从专家库抽取，评审小组主任由评委选举产生。</w:t>
      </w:r>
    </w:p>
    <w:p w14:paraId="5060F0A6">
      <w:pPr>
        <w:pStyle w:val="2"/>
        <w:numPr>
          <w:ilvl w:val="0"/>
          <w:numId w:val="0"/>
        </w:numPr>
        <w:spacing w:line="500" w:lineRule="exact"/>
        <w:rPr>
          <w:color w:val="000000" w:themeColor="text1"/>
        </w:rPr>
      </w:pPr>
      <w:r>
        <w:rPr>
          <w:rFonts w:hint="eastAsia" w:ascii="Times New Roman" w:eastAsia="宋体"/>
          <w:color w:val="000000" w:themeColor="text1"/>
          <w:kern w:val="0"/>
          <w:szCs w:val="24"/>
        </w:rPr>
        <w:t>19.4.2评审工作由评审小组负责，招商人根据评审小组提交的评审报告决定中商人。</w:t>
      </w:r>
    </w:p>
    <w:p w14:paraId="121A1CFD">
      <w:pPr>
        <w:pStyle w:val="2"/>
        <w:spacing w:line="500" w:lineRule="exact"/>
        <w:rPr>
          <w:color w:val="000000" w:themeColor="text1"/>
          <w:kern w:val="0"/>
        </w:rPr>
      </w:pPr>
      <w:bookmarkStart w:id="745" w:name="_Toc213520746"/>
      <w:bookmarkStart w:id="746" w:name="_Toc354606474"/>
      <w:bookmarkStart w:id="747" w:name="_Toc354606563"/>
      <w:bookmarkStart w:id="748" w:name="_Toc213516187"/>
      <w:bookmarkStart w:id="749" w:name="_Toc51494276"/>
      <w:bookmarkStart w:id="750" w:name="_Toc283490387"/>
      <w:bookmarkStart w:id="751" w:name="_Toc60191142"/>
      <w:bookmarkStart w:id="752" w:name="_Toc282417444"/>
      <w:bookmarkStart w:id="753" w:name="_Toc66355975"/>
      <w:bookmarkStart w:id="754" w:name="_Toc283376836"/>
      <w:bookmarkStart w:id="755" w:name="_Toc282703521"/>
      <w:bookmarkStart w:id="756" w:name="_Toc213155153"/>
      <w:bookmarkStart w:id="757" w:name="_Toc336245483"/>
      <w:bookmarkStart w:id="758" w:name="_Toc52930775"/>
      <w:bookmarkStart w:id="759" w:name="_Toc20148"/>
      <w:bookmarkStart w:id="760" w:name="_Toc77318593"/>
      <w:bookmarkStart w:id="761" w:name="_Toc257903082"/>
      <w:bookmarkStart w:id="762" w:name="_Toc339016052"/>
      <w:bookmarkStart w:id="763" w:name="_Toc355702885"/>
      <w:bookmarkStart w:id="764" w:name="_Toc338851133"/>
      <w:bookmarkStart w:id="765" w:name="_Toc336241649"/>
      <w:bookmarkStart w:id="766" w:name="_Toc53100479"/>
      <w:bookmarkStart w:id="767" w:name="_Toc283624778"/>
      <w:bookmarkStart w:id="768" w:name="_Toc283735892"/>
      <w:bookmarkStart w:id="769" w:name="_Toc283892555"/>
      <w:bookmarkStart w:id="770" w:name="_Toc51493898"/>
      <w:bookmarkStart w:id="771" w:name="_Toc66355902"/>
      <w:bookmarkStart w:id="772" w:name="_Toc53100397"/>
      <w:bookmarkStart w:id="773" w:name="_Toc336238885"/>
      <w:r>
        <w:rPr>
          <w:rFonts w:hint="eastAsia" w:ascii="Times New Roman" w:eastAsia="宋体"/>
          <w:color w:val="000000" w:themeColor="text1"/>
          <w:kern w:val="0"/>
        </w:rPr>
        <w:t>竞商文件响应性的确定</w:t>
      </w:r>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r>
        <w:rPr>
          <w:rFonts w:hint="eastAsia" w:ascii="Times New Roman" w:eastAsia="宋体"/>
          <w:color w:val="000000" w:themeColor="text1"/>
          <w:kern w:val="0"/>
        </w:rPr>
        <w:t>。</w:t>
      </w:r>
    </w:p>
    <w:p w14:paraId="5A6E2DCE">
      <w:pPr>
        <w:pStyle w:val="2"/>
        <w:numPr>
          <w:ilvl w:val="0"/>
          <w:numId w:val="0"/>
        </w:numPr>
        <w:spacing w:line="500" w:lineRule="exact"/>
        <w:rPr>
          <w:color w:val="000000" w:themeColor="text1"/>
        </w:rPr>
      </w:pPr>
      <w:r>
        <w:rPr>
          <w:rFonts w:hint="eastAsia"/>
          <w:color w:val="000000" w:themeColor="text1"/>
        </w:rPr>
        <w:t>20.1</w:t>
      </w:r>
      <w:r>
        <w:rPr>
          <w:rFonts w:hint="eastAsia" w:ascii="Times New Roman" w:eastAsia="宋体"/>
          <w:color w:val="000000" w:themeColor="text1"/>
          <w:kern w:val="0"/>
        </w:rPr>
        <w:t>评审小组将针对本项目进行评审。</w:t>
      </w:r>
    </w:p>
    <w:p w14:paraId="6F0E1285">
      <w:pPr>
        <w:pStyle w:val="2"/>
        <w:numPr>
          <w:ilvl w:val="0"/>
          <w:numId w:val="0"/>
        </w:numPr>
        <w:spacing w:line="500" w:lineRule="exact"/>
        <w:rPr>
          <w:color w:val="000000" w:themeColor="text1"/>
        </w:rPr>
      </w:pPr>
      <w:r>
        <w:rPr>
          <w:rFonts w:hint="eastAsia"/>
          <w:color w:val="000000" w:themeColor="text1"/>
        </w:rPr>
        <w:t>20.2</w:t>
      </w:r>
      <w:r>
        <w:rPr>
          <w:rFonts w:hint="eastAsia" w:ascii="Times New Roman" w:eastAsia="宋体"/>
          <w:color w:val="000000" w:themeColor="text1"/>
          <w:kern w:val="0"/>
        </w:rPr>
        <w:t>评审小组将确定每一竞商文件是否对招商文件的要求做出了实质性的响应。实质性响应的竞商是指竞商文件符合招商文件的所有条款、条件和规定。</w:t>
      </w:r>
    </w:p>
    <w:p w14:paraId="13B557B2">
      <w:pPr>
        <w:pStyle w:val="2"/>
        <w:numPr>
          <w:ilvl w:val="0"/>
          <w:numId w:val="0"/>
        </w:numPr>
        <w:spacing w:line="500" w:lineRule="exact"/>
        <w:rPr>
          <w:rFonts w:ascii="Times New Roman" w:eastAsia="宋体"/>
          <w:color w:val="000000" w:themeColor="text1"/>
          <w:kern w:val="0"/>
        </w:rPr>
      </w:pPr>
      <w:r>
        <w:rPr>
          <w:rFonts w:hint="eastAsia"/>
          <w:color w:val="000000" w:themeColor="text1"/>
        </w:rPr>
        <w:t>20.3</w:t>
      </w:r>
      <w:r>
        <w:rPr>
          <w:rFonts w:hint="eastAsia" w:ascii="Times New Roman" w:eastAsia="宋体"/>
          <w:color w:val="000000" w:themeColor="text1"/>
          <w:kern w:val="0"/>
        </w:rPr>
        <w:t>评审小组将否决非实质性响应的竞商文件，竞商人不能通过修正或撤销不符之处而使其成为实质性响应的竞商文件。</w:t>
      </w:r>
    </w:p>
    <w:p w14:paraId="6F359037">
      <w:pPr>
        <w:pStyle w:val="2"/>
        <w:numPr>
          <w:ilvl w:val="0"/>
          <w:numId w:val="0"/>
        </w:numPr>
        <w:spacing w:line="500" w:lineRule="exact"/>
        <w:rPr>
          <w:rFonts w:ascii="Times New Roman" w:eastAsia="宋体"/>
          <w:color w:val="000000" w:themeColor="text1"/>
          <w:kern w:val="0"/>
        </w:rPr>
      </w:pPr>
      <w:r>
        <w:rPr>
          <w:rFonts w:hint="eastAsia"/>
          <w:color w:val="000000" w:themeColor="text1"/>
        </w:rPr>
        <w:t>20.4</w:t>
      </w:r>
      <w:r>
        <w:rPr>
          <w:rFonts w:hint="eastAsia" w:ascii="Times New Roman" w:eastAsia="宋体"/>
          <w:color w:val="000000" w:themeColor="text1"/>
          <w:kern w:val="0"/>
        </w:rPr>
        <w:t>竞商人简单地复印或照搬招商文件中的经营要求作为其竞商文件的一部分，其竞商文件将有可能被否决。</w:t>
      </w:r>
    </w:p>
    <w:p w14:paraId="45EB27A0">
      <w:pPr>
        <w:pStyle w:val="2"/>
        <w:numPr>
          <w:ilvl w:val="0"/>
          <w:numId w:val="0"/>
        </w:numPr>
        <w:spacing w:line="500" w:lineRule="exact"/>
        <w:rPr>
          <w:rFonts w:ascii="Times New Roman" w:eastAsia="宋体"/>
          <w:color w:val="000000" w:themeColor="text1"/>
          <w:kern w:val="0"/>
        </w:rPr>
      </w:pPr>
      <w:bookmarkStart w:id="774" w:name="_Toc51494277"/>
      <w:bookmarkStart w:id="775" w:name="_Toc51493899"/>
      <w:bookmarkStart w:id="776" w:name="_Toc52930776"/>
      <w:r>
        <w:rPr>
          <w:rFonts w:hint="eastAsia"/>
          <w:color w:val="000000" w:themeColor="text1"/>
        </w:rPr>
        <w:t>20.5</w:t>
      </w:r>
      <w:r>
        <w:rPr>
          <w:rFonts w:hint="eastAsia" w:ascii="Times New Roman" w:eastAsia="宋体"/>
          <w:color w:val="000000" w:themeColor="text1"/>
          <w:kern w:val="0"/>
        </w:rPr>
        <w:t>评审小组可以书面方式要求竞商人对竞商文件中含义不明确或者有明显文字和计算错误的内容作必要的澄清、说明或者补正。澄清、说明或者补正应以书面方式进行并不得超出竞商文件的范围或者改变竞商文件的实质性内容。</w:t>
      </w:r>
    </w:p>
    <w:p w14:paraId="168573AD">
      <w:pPr>
        <w:pStyle w:val="2"/>
        <w:spacing w:before="0" w:after="0" w:line="500" w:lineRule="exact"/>
        <w:rPr>
          <w:rFonts w:ascii="Times New Roman" w:eastAsia="宋体"/>
          <w:color w:val="000000" w:themeColor="text1"/>
          <w:kern w:val="0"/>
          <w:szCs w:val="24"/>
        </w:rPr>
      </w:pPr>
      <w:bookmarkStart w:id="777" w:name="_Toc283376837"/>
      <w:bookmarkStart w:id="778" w:name="_Toc213516188"/>
      <w:bookmarkStart w:id="779" w:name="_Toc282417445"/>
      <w:bookmarkStart w:id="780" w:name="_Toc283624779"/>
      <w:bookmarkStart w:id="781" w:name="_Toc257903083"/>
      <w:bookmarkStart w:id="782" w:name="_Toc77318594"/>
      <w:bookmarkStart w:id="783" w:name="_Toc336245484"/>
      <w:bookmarkStart w:id="784" w:name="_Toc17036"/>
      <w:bookmarkStart w:id="785" w:name="_Toc282703522"/>
      <w:bookmarkStart w:id="786" w:name="_Toc53100398"/>
      <w:bookmarkStart w:id="787" w:name="_Toc339016053"/>
      <w:bookmarkStart w:id="788" w:name="_Toc60191143"/>
      <w:bookmarkStart w:id="789" w:name="_Toc213520747"/>
      <w:bookmarkStart w:id="790" w:name="_Toc283892556"/>
      <w:bookmarkStart w:id="791" w:name="_Toc336241650"/>
      <w:bookmarkStart w:id="792" w:name="_Toc283490388"/>
      <w:bookmarkStart w:id="793" w:name="_Toc354606475"/>
      <w:bookmarkStart w:id="794" w:name="_Toc66355903"/>
      <w:bookmarkStart w:id="795" w:name="_Toc283735893"/>
      <w:bookmarkStart w:id="796" w:name="_Toc338851134"/>
      <w:bookmarkStart w:id="797" w:name="_Toc336238886"/>
      <w:bookmarkStart w:id="798" w:name="_Toc354606564"/>
      <w:bookmarkStart w:id="799" w:name="_Toc53100480"/>
      <w:bookmarkStart w:id="800" w:name="_Toc213155154"/>
      <w:bookmarkStart w:id="801" w:name="_Toc66355976"/>
      <w:bookmarkStart w:id="802" w:name="_Toc355702886"/>
      <w:r>
        <w:rPr>
          <w:rFonts w:hint="eastAsia" w:ascii="Times New Roman" w:eastAsia="宋体"/>
          <w:color w:val="000000" w:themeColor="text1"/>
          <w:kern w:val="0"/>
          <w:szCs w:val="24"/>
        </w:rPr>
        <w:t>竞商文件的澄清</w:t>
      </w:r>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p>
    <w:p w14:paraId="0915A2E9">
      <w:pPr>
        <w:numPr>
          <w:ilvl w:val="1"/>
          <w:numId w:val="1"/>
        </w:numPr>
        <w:spacing w:line="360" w:lineRule="auto"/>
        <w:ind w:left="-240" w:leftChars="0" w:firstLineChars="0"/>
        <w:rPr>
          <w:color w:val="000000" w:themeColor="text1"/>
        </w:rPr>
      </w:pPr>
      <w:r>
        <w:rPr>
          <w:rFonts w:hint="eastAsia"/>
          <w:color w:val="000000" w:themeColor="text1"/>
        </w:rPr>
        <w:t>为有助于对竞商文件的审查、评价和比较，评审小组可要求竞商人对其竞商文件进行澄清，有关澄清的要求和答复应以书面形式提交。但除直接商务洽谈方式进行招商的项目之外，不得寻求、提供或允许对竞商文件中的实质性内容做任何更改。</w:t>
      </w:r>
    </w:p>
    <w:p w14:paraId="7597AC0F">
      <w:pPr>
        <w:numPr>
          <w:ilvl w:val="1"/>
          <w:numId w:val="1"/>
        </w:numPr>
        <w:spacing w:line="360" w:lineRule="auto"/>
        <w:ind w:left="-240" w:leftChars="0" w:firstLineChars="0"/>
        <w:rPr>
          <w:color w:val="000000" w:themeColor="text1"/>
        </w:rPr>
      </w:pPr>
      <w:r>
        <w:rPr>
          <w:rFonts w:hint="eastAsia"/>
          <w:color w:val="000000" w:themeColor="text1"/>
        </w:rPr>
        <w:t>竞商人收到澄清要求后应在规定时间内回复。所有竞商澄清回复内容均视为竞商文件不可分割的组成部分，对竞商人具有约束力。</w:t>
      </w:r>
      <w:bookmarkStart w:id="803" w:name="_Toc52930777"/>
      <w:bookmarkStart w:id="804" w:name="_Toc51494278"/>
      <w:bookmarkStart w:id="805" w:name="_Toc51493900"/>
    </w:p>
    <w:p w14:paraId="27656E26">
      <w:pPr>
        <w:pStyle w:val="2"/>
        <w:spacing w:before="0" w:after="0" w:line="360" w:lineRule="auto"/>
        <w:rPr>
          <w:rFonts w:ascii="Times New Roman" w:eastAsia="宋体"/>
          <w:color w:val="000000" w:themeColor="text1"/>
          <w:kern w:val="0"/>
          <w:szCs w:val="24"/>
        </w:rPr>
      </w:pPr>
      <w:bookmarkStart w:id="806" w:name="_Toc339016054"/>
      <w:bookmarkStart w:id="807" w:name="_Toc283376838"/>
      <w:bookmarkStart w:id="808" w:name="_Toc336241651"/>
      <w:bookmarkStart w:id="809" w:name="_Toc336238887"/>
      <w:bookmarkStart w:id="810" w:name="_Toc336245485"/>
      <w:bookmarkStart w:id="811" w:name="_Toc283490389"/>
      <w:bookmarkStart w:id="812" w:name="_Toc354606476"/>
      <w:bookmarkStart w:id="813" w:name="_Toc19360"/>
      <w:bookmarkStart w:id="814" w:name="_Toc354606565"/>
      <w:bookmarkStart w:id="815" w:name="_Toc257903084"/>
      <w:bookmarkStart w:id="816" w:name="_Toc338851135"/>
      <w:bookmarkStart w:id="817" w:name="_Toc283624780"/>
      <w:bookmarkStart w:id="818" w:name="_Toc355702887"/>
      <w:bookmarkStart w:id="819" w:name="_Toc282703523"/>
      <w:bookmarkStart w:id="820" w:name="_Toc77318595"/>
      <w:bookmarkStart w:id="821" w:name="_Toc283735894"/>
      <w:bookmarkStart w:id="822" w:name="_Toc283892557"/>
      <w:bookmarkStart w:id="823" w:name="_Toc282417446"/>
      <w:r>
        <w:rPr>
          <w:rFonts w:hint="eastAsia" w:ascii="Times New Roman" w:eastAsia="宋体"/>
          <w:color w:val="000000" w:themeColor="text1"/>
          <w:kern w:val="0"/>
          <w:szCs w:val="24"/>
        </w:rPr>
        <w:t>初步评审</w:t>
      </w:r>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p>
    <w:p w14:paraId="1CD0D0D3">
      <w:pPr>
        <w:numPr>
          <w:ilvl w:val="1"/>
          <w:numId w:val="1"/>
        </w:numPr>
        <w:spacing w:line="360" w:lineRule="auto"/>
        <w:ind w:left="-240" w:leftChars="0" w:firstLineChars="0"/>
        <w:rPr>
          <w:color w:val="000000" w:themeColor="text1"/>
        </w:rPr>
      </w:pPr>
      <w:bookmarkStart w:id="824" w:name="_Ref377647699"/>
      <w:r>
        <w:rPr>
          <w:rFonts w:hint="eastAsia"/>
          <w:color w:val="000000" w:themeColor="text1"/>
        </w:rPr>
        <w:t>评审小组将对竞商文件进行初步评审，凡出现下列情况之一者，其竞商将不进入下一步评审：</w:t>
      </w:r>
      <w:bookmarkEnd w:id="824"/>
    </w:p>
    <w:p w14:paraId="20797233">
      <w:pPr>
        <w:pStyle w:val="8"/>
        <w:numPr>
          <w:ilvl w:val="0"/>
          <w:numId w:val="11"/>
        </w:numPr>
        <w:spacing w:line="360" w:lineRule="auto"/>
        <w:ind w:left="851" w:hanging="425"/>
        <w:rPr>
          <w:color w:val="000000" w:themeColor="text1"/>
        </w:rPr>
      </w:pPr>
      <w:bookmarkStart w:id="825" w:name="_Toc53100482"/>
      <w:bookmarkStart w:id="826" w:name="_Toc52930778"/>
      <w:bookmarkStart w:id="827" w:name="_Toc51494279"/>
      <w:bookmarkStart w:id="828" w:name="_Toc51493901"/>
      <w:bookmarkStart w:id="829" w:name="_Toc53100400"/>
      <w:bookmarkStart w:id="830" w:name="_Toc66355978"/>
      <w:bookmarkStart w:id="831" w:name="_Toc66355905"/>
      <w:bookmarkStart w:id="832" w:name="_Toc60191145"/>
      <w:r>
        <w:rPr>
          <w:rFonts w:hint="eastAsia"/>
          <w:color w:val="000000" w:themeColor="text1"/>
          <w:szCs w:val="24"/>
        </w:rPr>
        <w:t>竞商人未按招商文件的要求结清欠款及递交竞商保证金；</w:t>
      </w:r>
    </w:p>
    <w:p w14:paraId="27D2AF19">
      <w:pPr>
        <w:pStyle w:val="8"/>
        <w:numPr>
          <w:ilvl w:val="0"/>
          <w:numId w:val="11"/>
        </w:numPr>
        <w:spacing w:line="360" w:lineRule="auto"/>
        <w:ind w:left="851"/>
        <w:rPr>
          <w:color w:val="000000" w:themeColor="text1"/>
        </w:rPr>
      </w:pPr>
      <w:r>
        <w:rPr>
          <w:rFonts w:hint="eastAsia"/>
          <w:color w:val="000000" w:themeColor="text1"/>
          <w:szCs w:val="24"/>
        </w:rPr>
        <w:t>竞商文件无竞商人的法定代表人或其授权代表（须提供授权书）签字和加盖公章；</w:t>
      </w:r>
    </w:p>
    <w:p w14:paraId="24C8E18C">
      <w:pPr>
        <w:pStyle w:val="8"/>
        <w:numPr>
          <w:ilvl w:val="0"/>
          <w:numId w:val="11"/>
        </w:numPr>
        <w:spacing w:line="360" w:lineRule="auto"/>
        <w:ind w:left="851"/>
        <w:rPr>
          <w:color w:val="000000" w:themeColor="text1"/>
        </w:rPr>
      </w:pPr>
      <w:r>
        <w:rPr>
          <w:rFonts w:hint="eastAsia"/>
          <w:color w:val="000000" w:themeColor="text1"/>
          <w:szCs w:val="24"/>
        </w:rPr>
        <w:t>竞商有效期短于招商文件的要求；</w:t>
      </w:r>
    </w:p>
    <w:p w14:paraId="5607EA39">
      <w:pPr>
        <w:pStyle w:val="8"/>
        <w:numPr>
          <w:ilvl w:val="0"/>
          <w:numId w:val="11"/>
        </w:numPr>
        <w:spacing w:line="360" w:lineRule="auto"/>
        <w:ind w:left="851"/>
        <w:rPr>
          <w:color w:val="000000" w:themeColor="text1"/>
        </w:rPr>
      </w:pPr>
      <w:r>
        <w:rPr>
          <w:rFonts w:hint="eastAsia"/>
          <w:color w:val="000000" w:themeColor="text1"/>
          <w:szCs w:val="24"/>
        </w:rPr>
        <w:t>竞商人的资格不符合要求；</w:t>
      </w:r>
    </w:p>
    <w:p w14:paraId="740BD622">
      <w:pPr>
        <w:pStyle w:val="8"/>
        <w:numPr>
          <w:ilvl w:val="0"/>
          <w:numId w:val="11"/>
        </w:numPr>
        <w:pBdr>
          <w:top w:val="none" w:color="auto" w:sz="0" w:space="1"/>
          <w:left w:val="none" w:color="auto" w:sz="0" w:space="2"/>
          <w:bottom w:val="none" w:color="auto" w:sz="0" w:space="1"/>
          <w:right w:val="none" w:color="auto" w:sz="0" w:space="4"/>
        </w:pBdr>
        <w:spacing w:line="360" w:lineRule="auto"/>
        <w:ind w:left="851"/>
        <w:rPr>
          <w:color w:val="000000" w:themeColor="text1"/>
        </w:rPr>
      </w:pPr>
      <w:r>
        <w:rPr>
          <w:rFonts w:hint="eastAsia"/>
          <w:color w:val="000000" w:themeColor="text1"/>
          <w:szCs w:val="24"/>
        </w:rPr>
        <w:t>针对同一包件，同一竞商人提交两个（含）以上不同的竞商文件或者针对任一报价项提供了两个以上可选择的报价，或合作期内的报价年度递增率不相同的，或竞商报价低于公布的招商底价，或未按招商文件规定报价的，未在规定时间内提交竞商报价函，或提交后要求撤销或修改的；</w:t>
      </w:r>
    </w:p>
    <w:p w14:paraId="55C65493">
      <w:pPr>
        <w:pStyle w:val="8"/>
        <w:numPr>
          <w:ilvl w:val="0"/>
          <w:numId w:val="11"/>
        </w:numPr>
        <w:spacing w:line="360" w:lineRule="auto"/>
        <w:ind w:left="851"/>
        <w:rPr>
          <w:color w:val="000000" w:themeColor="text1"/>
        </w:rPr>
      </w:pPr>
      <w:r>
        <w:rPr>
          <w:rFonts w:hint="eastAsia"/>
          <w:color w:val="000000" w:themeColor="text1"/>
          <w:szCs w:val="24"/>
        </w:rPr>
        <w:t>竞商文件存在内容不全或者关键字迹模糊、难以辨认的；</w:t>
      </w:r>
    </w:p>
    <w:p w14:paraId="3E4A6870">
      <w:pPr>
        <w:pStyle w:val="8"/>
        <w:numPr>
          <w:ilvl w:val="0"/>
          <w:numId w:val="11"/>
        </w:numPr>
        <w:spacing w:line="360" w:lineRule="auto"/>
        <w:ind w:left="851"/>
        <w:rPr>
          <w:color w:val="000000" w:themeColor="text1"/>
        </w:rPr>
      </w:pPr>
      <w:r>
        <w:rPr>
          <w:rFonts w:hint="eastAsia"/>
          <w:color w:val="000000" w:themeColor="text1"/>
          <w:szCs w:val="24"/>
        </w:rPr>
        <w:t>竞商人名称与资格审查或资质证明上名称不一致且未提供有效证明的；</w:t>
      </w:r>
    </w:p>
    <w:p w14:paraId="5FC99629">
      <w:pPr>
        <w:pStyle w:val="8"/>
        <w:numPr>
          <w:ilvl w:val="0"/>
          <w:numId w:val="11"/>
        </w:numPr>
        <w:spacing w:line="360" w:lineRule="auto"/>
        <w:ind w:left="851"/>
        <w:rPr>
          <w:color w:val="000000" w:themeColor="text1"/>
        </w:rPr>
      </w:pPr>
      <w:r>
        <w:rPr>
          <w:rFonts w:hint="eastAsia"/>
          <w:color w:val="000000" w:themeColor="text1"/>
          <w:szCs w:val="24"/>
        </w:rPr>
        <w:t>竞商过程中存在串通报价、欺诈、行贿、威胁或弄虚作假等违规情况；</w:t>
      </w:r>
    </w:p>
    <w:p w14:paraId="312F3D39">
      <w:pPr>
        <w:pStyle w:val="8"/>
        <w:numPr>
          <w:ilvl w:val="0"/>
          <w:numId w:val="11"/>
        </w:numPr>
        <w:spacing w:line="360" w:lineRule="auto"/>
        <w:ind w:left="851"/>
        <w:rPr>
          <w:color w:val="000000" w:themeColor="text1"/>
        </w:rPr>
      </w:pPr>
      <w:r>
        <w:rPr>
          <w:rFonts w:hint="eastAsia"/>
          <w:color w:val="000000" w:themeColor="text1"/>
          <w:szCs w:val="24"/>
        </w:rPr>
        <w:t>竞商文件附有招商单位不能接受的条件；</w:t>
      </w:r>
    </w:p>
    <w:p w14:paraId="1A79048D">
      <w:pPr>
        <w:pStyle w:val="8"/>
        <w:numPr>
          <w:ilvl w:val="0"/>
          <w:numId w:val="11"/>
        </w:numPr>
        <w:spacing w:line="360" w:lineRule="auto"/>
        <w:ind w:left="851"/>
        <w:rPr>
          <w:color w:val="000000" w:themeColor="text1"/>
        </w:rPr>
      </w:pPr>
      <w:r>
        <w:rPr>
          <w:rFonts w:hint="eastAsia"/>
          <w:color w:val="000000" w:themeColor="text1"/>
          <w:szCs w:val="24"/>
        </w:rPr>
        <w:t>不符合招商文件中规定的其他实质性要求之处。</w:t>
      </w:r>
    </w:p>
    <w:p w14:paraId="6AC24D03">
      <w:pPr>
        <w:numPr>
          <w:ilvl w:val="1"/>
          <w:numId w:val="1"/>
        </w:numPr>
        <w:spacing w:line="360" w:lineRule="auto"/>
        <w:ind w:left="-240" w:leftChars="0" w:firstLineChars="0"/>
        <w:rPr>
          <w:color w:val="000000" w:themeColor="text1"/>
        </w:rPr>
      </w:pPr>
      <w:r>
        <w:rPr>
          <w:rFonts w:hint="eastAsia"/>
          <w:color w:val="000000" w:themeColor="text1"/>
        </w:rPr>
        <w:t>评审小组将对确定为符合要求的竞商文件进行审核，看其报价是否有计算上或表述上的错误，修正错误的原则如下：</w:t>
      </w:r>
    </w:p>
    <w:p w14:paraId="323BB340">
      <w:pPr>
        <w:numPr>
          <w:ilvl w:val="0"/>
          <w:numId w:val="12"/>
        </w:numPr>
        <w:spacing w:line="360" w:lineRule="auto"/>
        <w:rPr>
          <w:color w:val="000000" w:themeColor="text1"/>
        </w:rPr>
      </w:pPr>
      <w:r>
        <w:rPr>
          <w:rFonts w:hint="eastAsia"/>
          <w:color w:val="000000" w:themeColor="text1"/>
          <w:szCs w:val="21"/>
        </w:rPr>
        <w:t>竞商文件中的大写金额与小写金额不一致的，以大写金额为准</w:t>
      </w:r>
      <w:r>
        <w:rPr>
          <w:rFonts w:hint="eastAsia"/>
          <w:color w:val="000000" w:themeColor="text1"/>
        </w:rPr>
        <w:t>；</w:t>
      </w:r>
    </w:p>
    <w:p w14:paraId="7593EC37">
      <w:pPr>
        <w:pStyle w:val="99"/>
        <w:numPr>
          <w:ilvl w:val="0"/>
          <w:numId w:val="12"/>
        </w:numPr>
        <w:ind w:firstLineChars="0"/>
        <w:rPr>
          <w:color w:val="000000" w:themeColor="text1"/>
          <w:sz w:val="24"/>
        </w:rPr>
      </w:pPr>
      <w:r>
        <w:rPr>
          <w:rFonts w:hint="eastAsia"/>
          <w:color w:val="000000" w:themeColor="text1"/>
          <w:sz w:val="24"/>
        </w:rPr>
        <w:t>总价金额与单价金额不一致的，以单价金额为准，但单价金额小数点有明显错误的除外；</w:t>
      </w:r>
    </w:p>
    <w:p w14:paraId="4DB987B5">
      <w:pPr>
        <w:numPr>
          <w:ilvl w:val="0"/>
          <w:numId w:val="12"/>
        </w:numPr>
        <w:spacing w:line="360" w:lineRule="auto"/>
        <w:rPr>
          <w:color w:val="000000" w:themeColor="text1"/>
        </w:rPr>
      </w:pPr>
      <w:r>
        <w:rPr>
          <w:rFonts w:hint="eastAsia"/>
          <w:color w:val="000000" w:themeColor="text1"/>
        </w:rPr>
        <w:t>当各分项报价的计算总价与竞商报价总价不符时，将以各分项报价的计算总价为准修正竞商报价总价；</w:t>
      </w:r>
    </w:p>
    <w:p w14:paraId="146C117A">
      <w:pPr>
        <w:numPr>
          <w:ilvl w:val="1"/>
          <w:numId w:val="1"/>
        </w:numPr>
        <w:spacing w:line="360" w:lineRule="auto"/>
        <w:ind w:left="-240" w:leftChars="0" w:firstLineChars="0"/>
        <w:rPr>
          <w:color w:val="000000" w:themeColor="text1"/>
        </w:rPr>
      </w:pPr>
      <w:r>
        <w:rPr>
          <w:rFonts w:hint="eastAsia"/>
          <w:color w:val="000000" w:themeColor="text1"/>
        </w:rPr>
        <w:t>评审小组将按上述修正错误的方法调整竞商文件中的竞商报价，调整后的价格对竞商人具有约束力。如果竞商人不接受调整后的价格，则其竞商文件将被否决。</w:t>
      </w:r>
    </w:p>
    <w:p w14:paraId="4EA1F1FA">
      <w:pPr>
        <w:pStyle w:val="2"/>
        <w:spacing w:before="0" w:after="0" w:line="360" w:lineRule="auto"/>
        <w:rPr>
          <w:rFonts w:ascii="Times New Roman"/>
          <w:color w:val="000000" w:themeColor="text1"/>
        </w:rPr>
      </w:pPr>
      <w:bookmarkStart w:id="833" w:name="_Toc11265"/>
      <w:bookmarkStart w:id="834" w:name="_Toc77318596"/>
      <w:r>
        <w:rPr>
          <w:rFonts w:hint="eastAsia" w:ascii="Times New Roman"/>
          <w:color w:val="000000" w:themeColor="text1"/>
        </w:rPr>
        <w:t>详细评审</w:t>
      </w:r>
      <w:bookmarkEnd w:id="833"/>
      <w:bookmarkEnd w:id="834"/>
    </w:p>
    <w:p w14:paraId="66AE2075">
      <w:pPr>
        <w:numPr>
          <w:ilvl w:val="1"/>
          <w:numId w:val="1"/>
        </w:numPr>
        <w:spacing w:line="360" w:lineRule="auto"/>
        <w:ind w:left="-240" w:leftChars="0" w:firstLineChars="0"/>
        <w:rPr>
          <w:color w:val="000000" w:themeColor="text1"/>
        </w:rPr>
      </w:pPr>
      <w:r>
        <w:rPr>
          <w:rFonts w:hint="eastAsia"/>
          <w:color w:val="000000" w:themeColor="text1"/>
        </w:rPr>
        <w:t>详细评审仅对初步评审合格的竞商人进行，具体评审办法详见第四章。</w:t>
      </w:r>
    </w:p>
    <w:bookmarkEnd w:id="825"/>
    <w:bookmarkEnd w:id="826"/>
    <w:bookmarkEnd w:id="827"/>
    <w:bookmarkEnd w:id="828"/>
    <w:bookmarkEnd w:id="829"/>
    <w:bookmarkEnd w:id="830"/>
    <w:bookmarkEnd w:id="831"/>
    <w:bookmarkEnd w:id="832"/>
    <w:p w14:paraId="748AA222">
      <w:pPr>
        <w:numPr>
          <w:ilvl w:val="1"/>
          <w:numId w:val="13"/>
        </w:numPr>
        <w:spacing w:line="360" w:lineRule="auto"/>
        <w:ind w:left="-240" w:leftChars="0" w:firstLineChars="0"/>
        <w:rPr>
          <w:color w:val="000000" w:themeColor="text1"/>
        </w:rPr>
      </w:pPr>
      <w:r>
        <w:rPr>
          <w:rFonts w:hint="eastAsia"/>
          <w:color w:val="000000" w:themeColor="text1"/>
        </w:rPr>
        <w:t>（</w:t>
      </w:r>
      <w:r>
        <w:rPr>
          <w:color w:val="000000" w:themeColor="text1"/>
        </w:rPr>
        <w:t>1</w:t>
      </w:r>
      <w:r>
        <w:rPr>
          <w:rFonts w:hint="eastAsia"/>
          <w:color w:val="000000" w:themeColor="text1"/>
        </w:rPr>
        <w:t>）单个包件实际竞商人三家及以上参与竞商：采用综合评审法。</w:t>
      </w:r>
    </w:p>
    <w:p w14:paraId="18BDA845">
      <w:pPr>
        <w:spacing w:line="360" w:lineRule="auto"/>
        <w:rPr>
          <w:color w:val="000000" w:themeColor="text1"/>
        </w:rPr>
      </w:pPr>
      <w:r>
        <w:rPr>
          <w:color w:val="000000" w:themeColor="text1"/>
        </w:rPr>
        <w:t xml:space="preserve">      </w:t>
      </w:r>
      <w:r>
        <w:rPr>
          <w:rFonts w:hint="eastAsia"/>
          <w:color w:val="000000" w:themeColor="text1"/>
        </w:rPr>
        <w:t>①初步评审。招商评审小组首先对竞商人递交的竞商文件进行初步评审，确认各竞商文件是否完全符合招商文件的有关要求，判定竞商文件的有效性。只有完全通过这项检查，才可进入下阶段详细评审。</w:t>
      </w:r>
    </w:p>
    <w:p w14:paraId="41140E04">
      <w:pPr>
        <w:spacing w:line="360" w:lineRule="auto"/>
        <w:rPr>
          <w:color w:val="000000" w:themeColor="text1"/>
        </w:rPr>
      </w:pPr>
      <w:r>
        <w:rPr>
          <w:color w:val="000000" w:themeColor="text1"/>
        </w:rPr>
        <w:t xml:space="preserve">      </w:t>
      </w:r>
      <w:r>
        <w:rPr>
          <w:rFonts w:hint="eastAsia"/>
          <w:color w:val="000000" w:themeColor="text1"/>
        </w:rPr>
        <w:t>②详细评审。所有招商评审成员分别对竞商文件进行评分，针对竞商文件中的企业资质财务状况、商务条件报价、品牌规模、经营情况、运营方案、形象方案、安全管理体系以及其他加减分进行打分。具体评审细则详见附件</w:t>
      </w:r>
      <w:r>
        <w:rPr>
          <w:color w:val="000000" w:themeColor="text1"/>
        </w:rPr>
        <w:t>2</w:t>
      </w:r>
      <w:r>
        <w:rPr>
          <w:rFonts w:hint="eastAsia"/>
          <w:color w:val="000000" w:themeColor="text1"/>
        </w:rPr>
        <w:t>。</w:t>
      </w:r>
    </w:p>
    <w:p w14:paraId="3570D0C5">
      <w:pPr>
        <w:spacing w:line="360" w:lineRule="auto"/>
        <w:rPr>
          <w:color w:val="000000" w:themeColor="text1"/>
        </w:rPr>
      </w:pPr>
      <w:r>
        <w:rPr>
          <w:color w:val="000000" w:themeColor="text1"/>
        </w:rPr>
        <w:t xml:space="preserve">      </w:t>
      </w:r>
      <w:r>
        <w:rPr>
          <w:rFonts w:hint="eastAsia"/>
          <w:color w:val="000000" w:themeColor="text1"/>
        </w:rPr>
        <w:t>③按包件采用均值计分法来计算排名，统计时按所有评审小组成员对某一竞商人评审得分的算术平均值（保留小数点后两位，第三位四舍五入）作为该竞商人的评审综合得分，由高到低进行排序，推荐排名第一的为拟中商人。</w:t>
      </w:r>
    </w:p>
    <w:p w14:paraId="2C4F6B27">
      <w:pPr>
        <w:spacing w:line="360" w:lineRule="auto"/>
        <w:rPr>
          <w:color w:val="000000" w:themeColor="text1"/>
        </w:rPr>
      </w:pPr>
      <w:r>
        <w:rPr>
          <w:color w:val="000000" w:themeColor="text1"/>
        </w:rPr>
        <w:t xml:space="preserve">      </w:t>
      </w:r>
      <w:r>
        <w:rPr>
          <w:rFonts w:hint="eastAsia"/>
          <w:color w:val="000000" w:themeColor="text1"/>
        </w:rPr>
        <w:t>④同一包件如两家或以上竞商人综合评分出现并列，则评审小组依次按竞商人以商务条件报价、企业资质财务状况、品牌规模、经营情况、运营方案、形象方案、安全管理体系的分数依序由高到低排序，直至决定该项目竟商人排名顺序。若都相同则由评审小组举手表决，来决定该项目的候选中商人的排名顺序。</w:t>
      </w:r>
    </w:p>
    <w:p w14:paraId="2E10948B">
      <w:pPr>
        <w:numPr>
          <w:ilvl w:val="1"/>
          <w:numId w:val="13"/>
        </w:numPr>
        <w:spacing w:line="360" w:lineRule="auto"/>
        <w:ind w:left="-240" w:leftChars="0" w:firstLineChars="0"/>
        <w:rPr>
          <w:color w:val="000000" w:themeColor="text1"/>
        </w:rPr>
      </w:pPr>
      <w:r>
        <w:rPr>
          <w:rFonts w:hint="eastAsia"/>
          <w:color w:val="000000" w:themeColor="text1"/>
        </w:rPr>
        <w:t>（</w:t>
      </w:r>
      <w:r>
        <w:rPr>
          <w:color w:val="000000" w:themeColor="text1"/>
        </w:rPr>
        <w:t>2</w:t>
      </w:r>
      <w:r>
        <w:rPr>
          <w:rFonts w:hint="eastAsia"/>
          <w:color w:val="000000" w:themeColor="text1"/>
        </w:rPr>
        <w:t>）单个包件实际两家竞商人参与竞商：</w:t>
      </w:r>
    </w:p>
    <w:p w14:paraId="72ADD0AD">
      <w:pPr>
        <w:spacing w:line="360" w:lineRule="auto"/>
        <w:rPr>
          <w:color w:val="000000" w:themeColor="text1"/>
        </w:rPr>
      </w:pPr>
      <w:r>
        <w:rPr>
          <w:color w:val="000000" w:themeColor="text1"/>
        </w:rPr>
        <w:t xml:space="preserve">    </w:t>
      </w:r>
      <w:r>
        <w:rPr>
          <w:rFonts w:hint="eastAsia"/>
          <w:color w:val="000000" w:themeColor="text1"/>
        </w:rPr>
        <w:t>经符合性审查和资格审查合格，采用“三轮竞价法”进行竞价评审。第一轮竞价在竞商文件中提交</w:t>
      </w:r>
      <w:r>
        <w:rPr>
          <w:color w:val="000000" w:themeColor="text1"/>
        </w:rPr>
        <w:t>,</w:t>
      </w:r>
      <w:r>
        <w:rPr>
          <w:rFonts w:hint="eastAsia"/>
          <w:color w:val="000000" w:themeColor="text1"/>
        </w:rPr>
        <w:t>第二轮竞价由竞商人现场竞价，在提交的第一轮其他商务条件不变的前提下，对综合服务费（综合服务费单价×面积×</w:t>
      </w:r>
      <w:r>
        <w:rPr>
          <w:color w:val="000000" w:themeColor="text1"/>
        </w:rPr>
        <w:t>365</w:t>
      </w:r>
      <w:r>
        <w:rPr>
          <w:rFonts w:hint="eastAsia"/>
          <w:color w:val="000000" w:themeColor="text1"/>
        </w:rPr>
        <w:t>）进行第二轮报价，加价幅度为</w:t>
      </w:r>
      <w:r>
        <w:rPr>
          <w:rFonts w:hint="eastAsia"/>
          <w:color w:val="000000" w:themeColor="text1"/>
          <w:lang w:val="en-US" w:eastAsia="zh-CN"/>
        </w:rPr>
        <w:t>10000</w:t>
      </w:r>
      <w:r>
        <w:rPr>
          <w:rFonts w:hint="eastAsia"/>
          <w:color w:val="000000" w:themeColor="text1"/>
        </w:rPr>
        <w:t>元的整数倍</w:t>
      </w:r>
      <w:r>
        <w:rPr>
          <w:color w:val="000000" w:themeColor="text1"/>
        </w:rPr>
        <w:t>,</w:t>
      </w:r>
      <w:r>
        <w:rPr>
          <w:rFonts w:hint="eastAsia"/>
          <w:color w:val="000000" w:themeColor="text1"/>
        </w:rPr>
        <w:t>当场唱标后</w:t>
      </w:r>
      <w:r>
        <w:rPr>
          <w:color w:val="000000" w:themeColor="text1"/>
        </w:rPr>
        <w:t>,</w:t>
      </w:r>
      <w:r>
        <w:rPr>
          <w:rFonts w:hint="eastAsia"/>
          <w:color w:val="000000" w:themeColor="text1"/>
        </w:rPr>
        <w:t>在第二轮报价基础上</w:t>
      </w:r>
      <w:r>
        <w:rPr>
          <w:color w:val="000000" w:themeColor="text1"/>
        </w:rPr>
        <w:t>,</w:t>
      </w:r>
      <w:r>
        <w:rPr>
          <w:rFonts w:hint="eastAsia"/>
          <w:color w:val="000000" w:themeColor="text1"/>
        </w:rPr>
        <w:t>进行第三轮竞价</w:t>
      </w:r>
      <w:r>
        <w:rPr>
          <w:color w:val="000000" w:themeColor="text1"/>
        </w:rPr>
        <w:t>,</w:t>
      </w:r>
      <w:r>
        <w:rPr>
          <w:rFonts w:hint="eastAsia"/>
          <w:color w:val="000000" w:themeColor="text1"/>
        </w:rPr>
        <w:t>综合计算三年合同期价高者</w:t>
      </w:r>
      <w:r>
        <w:rPr>
          <w:color w:val="000000" w:themeColor="text1"/>
        </w:rPr>
        <w:t>(</w:t>
      </w:r>
      <w:r>
        <w:rPr>
          <w:rFonts w:hint="eastAsia"/>
          <w:color w:val="000000" w:themeColor="text1"/>
        </w:rPr>
        <w:t>根据综合服务费、递增比例、装修免租期因素</w:t>
      </w:r>
      <w:r>
        <w:rPr>
          <w:color w:val="000000" w:themeColor="text1"/>
        </w:rPr>
        <w:t>)</w:t>
      </w:r>
      <w:r>
        <w:rPr>
          <w:rFonts w:hint="eastAsia"/>
          <w:color w:val="000000" w:themeColor="text1"/>
        </w:rPr>
        <w:t>推荐为候选中商人</w:t>
      </w:r>
      <w:r>
        <w:rPr>
          <w:color w:val="000000" w:themeColor="text1"/>
        </w:rPr>
        <w:t>,</w:t>
      </w:r>
      <w:r>
        <w:rPr>
          <w:rFonts w:hint="eastAsia"/>
          <w:color w:val="000000" w:themeColor="text1"/>
        </w:rPr>
        <w:t>同一包件如两家竞商人第三轮竞价相同，则评审小组依次按竞商人以商务条件报价、企业资质财务状况、品牌规模、经营情况、运营方案、形象方案、安全管理体系分数依序由高到低排序，直至决定该项目竟商人排名顺序。若都相同则由评审小组举手表决，来决定该项目的候选中商人的排名顺序。每轮竞价时长为</w:t>
      </w:r>
      <w:r>
        <w:rPr>
          <w:color w:val="000000" w:themeColor="text1"/>
        </w:rPr>
        <w:t>10</w:t>
      </w:r>
      <w:r>
        <w:rPr>
          <w:rFonts w:hint="eastAsia"/>
          <w:color w:val="000000" w:themeColor="text1"/>
        </w:rPr>
        <w:t>分钟。</w:t>
      </w:r>
    </w:p>
    <w:p w14:paraId="17D7EC3B">
      <w:pPr>
        <w:numPr>
          <w:ilvl w:val="1"/>
          <w:numId w:val="13"/>
        </w:numPr>
        <w:spacing w:line="360" w:lineRule="auto"/>
        <w:ind w:left="-240" w:leftChars="0" w:firstLineChars="0"/>
        <w:rPr>
          <w:color w:val="000000" w:themeColor="text1"/>
        </w:rPr>
      </w:pPr>
      <w:r>
        <w:rPr>
          <w:rFonts w:hint="eastAsia"/>
          <w:color w:val="000000" w:themeColor="text1"/>
        </w:rPr>
        <w:t>（</w:t>
      </w:r>
      <w:r>
        <w:rPr>
          <w:color w:val="000000" w:themeColor="text1"/>
        </w:rPr>
        <w:t>3</w:t>
      </w:r>
      <w:r>
        <w:rPr>
          <w:rFonts w:hint="eastAsia"/>
          <w:color w:val="000000" w:themeColor="text1"/>
        </w:rPr>
        <w:t>）单个包件实际一家竞商人参与竞商：</w:t>
      </w:r>
    </w:p>
    <w:p w14:paraId="67152B3A">
      <w:pPr>
        <w:spacing w:line="360" w:lineRule="auto"/>
        <w:rPr>
          <w:color w:val="000000" w:themeColor="text1"/>
        </w:rPr>
      </w:pPr>
      <w:r>
        <w:rPr>
          <w:color w:val="000000" w:themeColor="text1"/>
        </w:rPr>
        <w:t xml:space="preserve">    </w:t>
      </w:r>
      <w:r>
        <w:rPr>
          <w:rFonts w:hint="eastAsia"/>
          <w:color w:val="000000" w:themeColor="text1"/>
        </w:rPr>
        <w:t>经符合性审查和资格审查合格，开展商务洽谈。</w:t>
      </w:r>
    </w:p>
    <w:p w14:paraId="503F3CE4">
      <w:pPr>
        <w:numPr>
          <w:ilvl w:val="1"/>
          <w:numId w:val="1"/>
        </w:numPr>
        <w:spacing w:line="360" w:lineRule="auto"/>
        <w:ind w:left="-240" w:leftChars="0" w:firstLineChars="0"/>
        <w:rPr>
          <w:color w:val="000000" w:themeColor="text1"/>
        </w:rPr>
      </w:pPr>
      <w:r>
        <w:rPr>
          <w:rFonts w:hint="eastAsia"/>
          <w:b/>
          <w:color w:val="000000" w:themeColor="text1"/>
        </w:rPr>
        <w:t>竞商人在参与招商过程中，有下列行为的由招商主体单位列入黑名单，取消其竞商（中商）资格，并履行相应程序，列入黑名单的竞商人</w:t>
      </w:r>
      <w:r>
        <w:rPr>
          <w:b/>
          <w:color w:val="000000" w:themeColor="text1"/>
        </w:rPr>
        <w:t>2</w:t>
      </w:r>
      <w:r>
        <w:rPr>
          <w:rFonts w:hint="eastAsia"/>
          <w:b/>
          <w:color w:val="000000" w:themeColor="text1"/>
        </w:rPr>
        <w:t>年内不得参与上海局集团公司管辖范围内的同类招商活动</w:t>
      </w:r>
      <w:r>
        <w:rPr>
          <w:b/>
          <w:color w:val="000000" w:themeColor="text1"/>
        </w:rPr>
        <w:t>:</w:t>
      </w:r>
    </w:p>
    <w:bookmarkEnd w:id="744"/>
    <w:p w14:paraId="64214BB7">
      <w:pPr>
        <w:pStyle w:val="8"/>
        <w:spacing w:line="360" w:lineRule="auto"/>
        <w:ind w:left="709" w:firstLine="480" w:firstLineChars="200"/>
        <w:rPr>
          <w:color w:val="000000" w:themeColor="text1"/>
        </w:rPr>
      </w:pPr>
      <w:bookmarkStart w:id="835" w:name="_Toc357167819"/>
      <w:bookmarkEnd w:id="835"/>
      <w:bookmarkStart w:id="836" w:name="_Toc357167853"/>
      <w:bookmarkEnd w:id="836"/>
      <w:bookmarkStart w:id="837" w:name="_Toc357167818"/>
      <w:bookmarkEnd w:id="837"/>
      <w:bookmarkStart w:id="838" w:name="_Toc357167852"/>
      <w:bookmarkEnd w:id="838"/>
      <w:bookmarkStart w:id="839" w:name="_Toc53100483"/>
      <w:bookmarkStart w:id="840" w:name="_Toc338851137"/>
      <w:bookmarkStart w:id="841" w:name="_Toc336241653"/>
      <w:bookmarkStart w:id="842" w:name="_Toc66355906"/>
      <w:bookmarkStart w:id="843" w:name="_Toc257903086"/>
      <w:bookmarkStart w:id="844" w:name="_Toc339016056"/>
      <w:bookmarkStart w:id="845" w:name="_Toc354606478"/>
      <w:bookmarkStart w:id="846" w:name="_Toc66355979"/>
      <w:bookmarkStart w:id="847" w:name="_Toc283376840"/>
      <w:bookmarkStart w:id="848" w:name="_Toc77318597"/>
      <w:bookmarkStart w:id="849" w:name="_Toc51494280"/>
      <w:bookmarkStart w:id="850" w:name="_Toc354606567"/>
      <w:bookmarkStart w:id="851" w:name="_Toc282417448"/>
      <w:bookmarkStart w:id="852" w:name="_Toc355702889"/>
      <w:bookmarkStart w:id="853" w:name="_Toc213520750"/>
      <w:bookmarkStart w:id="854" w:name="_Toc53100401"/>
      <w:bookmarkStart w:id="855" w:name="_Toc336245487"/>
      <w:bookmarkStart w:id="856" w:name="_Toc283892559"/>
      <w:bookmarkStart w:id="857" w:name="_Toc52930779"/>
      <w:bookmarkStart w:id="858" w:name="_Toc283735896"/>
      <w:bookmarkStart w:id="859" w:name="_Toc51493902"/>
      <w:bookmarkStart w:id="860" w:name="_Toc283624782"/>
      <w:bookmarkStart w:id="861" w:name="_Toc213516191"/>
      <w:bookmarkStart w:id="862" w:name="_Toc213155157"/>
      <w:bookmarkStart w:id="863" w:name="_Toc283490391"/>
      <w:bookmarkStart w:id="864" w:name="_Toc282703525"/>
      <w:bookmarkStart w:id="865" w:name="_Toc336238889"/>
      <w:bookmarkStart w:id="866" w:name="_Toc60191146"/>
      <w:r>
        <w:rPr>
          <w:rFonts w:hint="eastAsia"/>
          <w:color w:val="000000" w:themeColor="text1"/>
        </w:rPr>
        <w:t>招商过程中弄虚作假、提供虚假材料；</w:t>
      </w:r>
    </w:p>
    <w:p w14:paraId="13777EED">
      <w:pPr>
        <w:pStyle w:val="8"/>
        <w:spacing w:line="360" w:lineRule="auto"/>
        <w:rPr>
          <w:color w:val="000000" w:themeColor="text1"/>
        </w:rPr>
      </w:pPr>
      <w:r>
        <w:rPr>
          <w:rFonts w:hint="eastAsia"/>
          <w:color w:val="000000" w:themeColor="text1"/>
        </w:rPr>
        <w:t>招商过程中与其他竞商人串通竞商；</w:t>
      </w:r>
    </w:p>
    <w:p w14:paraId="124CE2BA">
      <w:pPr>
        <w:pStyle w:val="8"/>
        <w:spacing w:line="360" w:lineRule="auto"/>
        <w:rPr>
          <w:color w:val="000000" w:themeColor="text1"/>
        </w:rPr>
      </w:pPr>
      <w:r>
        <w:rPr>
          <w:rFonts w:hint="eastAsia"/>
          <w:color w:val="000000" w:themeColor="text1"/>
        </w:rPr>
        <w:t>不遵守招商评审会纪律要求，扰乱招商评审秩序；</w:t>
      </w:r>
    </w:p>
    <w:p w14:paraId="687F7B2F">
      <w:pPr>
        <w:pStyle w:val="8"/>
        <w:spacing w:line="360" w:lineRule="auto"/>
        <w:rPr>
          <w:color w:val="000000" w:themeColor="text1"/>
        </w:rPr>
      </w:pPr>
      <w:r>
        <w:rPr>
          <w:rFonts w:hint="eastAsia"/>
          <w:color w:val="000000" w:themeColor="text1"/>
        </w:rPr>
        <w:t>恶意散布不实信息，影响正常招商工作；</w:t>
      </w:r>
    </w:p>
    <w:p w14:paraId="621476D2">
      <w:pPr>
        <w:pStyle w:val="8"/>
        <w:spacing w:line="360" w:lineRule="auto"/>
        <w:rPr>
          <w:color w:val="000000" w:themeColor="text1"/>
        </w:rPr>
      </w:pPr>
      <w:r>
        <w:rPr>
          <w:rFonts w:hint="eastAsia"/>
          <w:color w:val="000000" w:themeColor="text1"/>
        </w:rPr>
        <w:t>被确定为中商人后，因竞商人原因未按招商要求签订相关合同；</w:t>
      </w:r>
    </w:p>
    <w:p w14:paraId="393630C4">
      <w:pPr>
        <w:pStyle w:val="8"/>
        <w:spacing w:line="360" w:lineRule="auto"/>
        <w:rPr>
          <w:color w:val="000000" w:themeColor="text1"/>
        </w:rPr>
      </w:pPr>
      <w:r>
        <w:rPr>
          <w:rFonts w:hint="eastAsia"/>
          <w:color w:val="000000" w:themeColor="text1"/>
        </w:rPr>
        <w:t>其他利用不正当手段参与竞商的行为。</w:t>
      </w:r>
    </w:p>
    <w:p w14:paraId="229B5830">
      <w:pPr>
        <w:pStyle w:val="2"/>
        <w:spacing w:before="0" w:after="0" w:line="360" w:lineRule="auto"/>
        <w:rPr>
          <w:rFonts w:ascii="Times New Roman"/>
          <w:color w:val="000000" w:themeColor="text1"/>
        </w:rPr>
      </w:pPr>
      <w:bookmarkStart w:id="867" w:name="_Toc23478"/>
      <w:r>
        <w:rPr>
          <w:rFonts w:hint="eastAsia" w:ascii="Times New Roman"/>
          <w:color w:val="000000" w:themeColor="text1"/>
        </w:rPr>
        <w:t>评审过程的保密性</w:t>
      </w:r>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p>
    <w:p w14:paraId="2A360037">
      <w:pPr>
        <w:numPr>
          <w:ilvl w:val="1"/>
          <w:numId w:val="1"/>
        </w:numPr>
        <w:spacing w:line="360" w:lineRule="auto"/>
        <w:ind w:left="-240" w:leftChars="0" w:firstLineChars="0"/>
        <w:rPr>
          <w:color w:val="000000" w:themeColor="text1"/>
        </w:rPr>
      </w:pPr>
      <w:r>
        <w:rPr>
          <w:rFonts w:hint="eastAsia"/>
          <w:color w:val="000000" w:themeColor="text1"/>
        </w:rPr>
        <w:t>竞商截止后，直至向中商人发出中商通知书为止，对竞商文件的审查、澄清、评估、比较以及授予合同的意向等情况都不得透露给任一竞商人及其他与评审工作无关的人员。</w:t>
      </w:r>
    </w:p>
    <w:p w14:paraId="1C9B93CB">
      <w:pPr>
        <w:numPr>
          <w:ilvl w:val="1"/>
          <w:numId w:val="1"/>
        </w:numPr>
        <w:spacing w:line="360" w:lineRule="auto"/>
        <w:ind w:left="-240" w:leftChars="0" w:firstLineChars="0"/>
        <w:rPr>
          <w:color w:val="000000" w:themeColor="text1"/>
        </w:rPr>
      </w:pPr>
      <w:r>
        <w:rPr>
          <w:rFonts w:hint="eastAsia"/>
          <w:color w:val="000000" w:themeColor="text1"/>
        </w:rPr>
        <w:t>在评审过程中，如果竞商人试图在竞商文件的审查、澄清、评价、比较及授予合同方面向招商人施加任何影响，其竞商文件将被否决。</w:t>
      </w:r>
    </w:p>
    <w:p w14:paraId="6623B3CB">
      <w:pPr>
        <w:pStyle w:val="173"/>
        <w:tabs>
          <w:tab w:val="left" w:pos="720"/>
        </w:tabs>
        <w:spacing w:before="0" w:after="0" w:line="360" w:lineRule="auto"/>
        <w:jc w:val="left"/>
        <w:rPr>
          <w:rFonts w:ascii="Times New Roman"/>
          <w:color w:val="000000" w:themeColor="text1"/>
        </w:rPr>
      </w:pPr>
      <w:bookmarkStart w:id="868" w:name="_Toc336241654"/>
      <w:bookmarkStart w:id="869" w:name="_Toc60191147"/>
      <w:bookmarkStart w:id="870" w:name="_Toc77318598"/>
      <w:bookmarkStart w:id="871" w:name="_Toc213516192"/>
      <w:bookmarkStart w:id="872" w:name="_Toc53100484"/>
      <w:bookmarkStart w:id="873" w:name="_Toc66355980"/>
      <w:bookmarkStart w:id="874" w:name="_Toc282703526"/>
      <w:bookmarkStart w:id="875" w:name="_Toc213155158"/>
      <w:bookmarkStart w:id="876" w:name="_Toc51494281"/>
      <w:bookmarkStart w:id="877" w:name="_Toc336238890"/>
      <w:bookmarkStart w:id="878" w:name="_Toc51493903"/>
    </w:p>
    <w:p w14:paraId="3634B900">
      <w:pPr>
        <w:pStyle w:val="173"/>
        <w:tabs>
          <w:tab w:val="left" w:pos="720"/>
        </w:tabs>
        <w:spacing w:before="0" w:after="0" w:line="360" w:lineRule="auto"/>
        <w:ind w:left="720" w:leftChars="300" w:firstLine="2240" w:firstLineChars="800"/>
        <w:jc w:val="left"/>
        <w:rPr>
          <w:rFonts w:hint="eastAsia" w:ascii="Times New Roman"/>
          <w:color w:val="000000" w:themeColor="text1"/>
        </w:rPr>
      </w:pPr>
    </w:p>
    <w:p w14:paraId="443E9F08">
      <w:pPr>
        <w:pStyle w:val="173"/>
        <w:tabs>
          <w:tab w:val="left" w:pos="720"/>
        </w:tabs>
        <w:spacing w:before="0" w:after="0" w:line="360" w:lineRule="auto"/>
        <w:ind w:left="720" w:leftChars="300" w:firstLine="2240" w:firstLineChars="800"/>
        <w:jc w:val="left"/>
        <w:rPr>
          <w:rFonts w:hint="eastAsia" w:ascii="Times New Roman"/>
          <w:color w:val="000000" w:themeColor="text1"/>
        </w:rPr>
      </w:pPr>
    </w:p>
    <w:p w14:paraId="64201106">
      <w:pPr>
        <w:pStyle w:val="173"/>
        <w:tabs>
          <w:tab w:val="left" w:pos="720"/>
        </w:tabs>
        <w:spacing w:before="0" w:after="0" w:line="360" w:lineRule="auto"/>
        <w:ind w:left="720" w:leftChars="300" w:firstLine="2240" w:firstLineChars="800"/>
        <w:jc w:val="left"/>
        <w:rPr>
          <w:rFonts w:hint="eastAsia" w:ascii="Times New Roman"/>
          <w:color w:val="000000" w:themeColor="text1"/>
        </w:rPr>
      </w:pPr>
    </w:p>
    <w:p w14:paraId="7600E41C">
      <w:pPr>
        <w:pStyle w:val="173"/>
        <w:tabs>
          <w:tab w:val="left" w:pos="720"/>
        </w:tabs>
        <w:spacing w:before="0" w:after="0" w:line="360" w:lineRule="auto"/>
        <w:ind w:left="720" w:leftChars="300" w:firstLine="2240" w:firstLineChars="800"/>
        <w:jc w:val="left"/>
        <w:rPr>
          <w:rFonts w:hint="eastAsia" w:ascii="Times New Roman"/>
          <w:color w:val="000000" w:themeColor="text1"/>
        </w:rPr>
      </w:pPr>
    </w:p>
    <w:p w14:paraId="4467551D">
      <w:pPr>
        <w:pStyle w:val="173"/>
        <w:tabs>
          <w:tab w:val="left" w:pos="720"/>
        </w:tabs>
        <w:spacing w:before="0" w:after="0" w:line="360" w:lineRule="auto"/>
        <w:ind w:left="720" w:leftChars="300" w:firstLine="2240" w:firstLineChars="800"/>
        <w:jc w:val="left"/>
        <w:rPr>
          <w:rFonts w:hint="eastAsia" w:ascii="Times New Roman"/>
          <w:color w:val="000000" w:themeColor="text1"/>
        </w:rPr>
      </w:pPr>
    </w:p>
    <w:p w14:paraId="6B7B006F">
      <w:pPr>
        <w:pStyle w:val="173"/>
        <w:tabs>
          <w:tab w:val="left" w:pos="720"/>
        </w:tabs>
        <w:spacing w:before="0" w:after="0" w:line="360" w:lineRule="auto"/>
        <w:ind w:left="720" w:leftChars="300" w:firstLine="2240" w:firstLineChars="800"/>
        <w:jc w:val="left"/>
        <w:rPr>
          <w:rFonts w:ascii="Times New Roman"/>
          <w:color w:val="000000" w:themeColor="text1"/>
        </w:rPr>
      </w:pPr>
      <w:r>
        <w:rPr>
          <w:rFonts w:hint="eastAsia" w:ascii="Times New Roman"/>
          <w:color w:val="000000" w:themeColor="text1"/>
        </w:rPr>
        <w:t>七、选定中商人</w:t>
      </w:r>
      <w:r>
        <w:rPr>
          <w:rFonts w:ascii="Times New Roman"/>
          <w:color w:val="000000" w:themeColor="text1"/>
        </w:rPr>
        <w:t>和签署合同</w:t>
      </w:r>
      <w:bookmarkEnd w:id="868"/>
      <w:bookmarkEnd w:id="869"/>
      <w:bookmarkEnd w:id="870"/>
      <w:bookmarkEnd w:id="871"/>
      <w:bookmarkEnd w:id="872"/>
      <w:bookmarkEnd w:id="873"/>
      <w:bookmarkEnd w:id="874"/>
      <w:bookmarkEnd w:id="875"/>
      <w:bookmarkEnd w:id="876"/>
      <w:bookmarkEnd w:id="877"/>
      <w:bookmarkStart w:id="879" w:name="_Toc51494282"/>
      <w:bookmarkStart w:id="880" w:name="_Toc52930780"/>
    </w:p>
    <w:bookmarkEnd w:id="878"/>
    <w:bookmarkEnd w:id="879"/>
    <w:bookmarkEnd w:id="880"/>
    <w:p w14:paraId="797E553F">
      <w:pPr>
        <w:pStyle w:val="2"/>
        <w:spacing w:before="0" w:after="0" w:line="360" w:lineRule="auto"/>
        <w:rPr>
          <w:rFonts w:ascii="Times New Roman"/>
          <w:color w:val="000000" w:themeColor="text1"/>
        </w:rPr>
      </w:pPr>
      <w:bookmarkStart w:id="881" w:name="_Toc20220"/>
      <w:bookmarkStart w:id="882" w:name="_Toc77318599"/>
      <w:r>
        <w:rPr>
          <w:rFonts w:hint="eastAsia" w:ascii="Times New Roman"/>
          <w:color w:val="000000" w:themeColor="text1"/>
        </w:rPr>
        <w:t>选定</w:t>
      </w:r>
      <w:bookmarkEnd w:id="881"/>
      <w:bookmarkEnd w:id="882"/>
      <w:r>
        <w:rPr>
          <w:rFonts w:hint="eastAsia" w:ascii="Times New Roman"/>
          <w:color w:val="000000" w:themeColor="text1"/>
        </w:rPr>
        <w:t>中商人</w:t>
      </w:r>
    </w:p>
    <w:p w14:paraId="3D73915A">
      <w:pPr>
        <w:pStyle w:val="162"/>
        <w:snapToGrid w:val="0"/>
        <w:spacing w:line="360" w:lineRule="auto"/>
        <w:ind w:firstLine="480"/>
        <w:rPr>
          <w:rFonts w:ascii="Times New Roman" w:hAnsi="Times New Roman"/>
          <w:color w:val="000000" w:themeColor="text1"/>
          <w:kern w:val="0"/>
          <w:sz w:val="24"/>
          <w:szCs w:val="20"/>
        </w:rPr>
      </w:pPr>
      <w:r>
        <w:rPr>
          <w:rFonts w:hint="eastAsia" w:ascii="Times New Roman" w:hAnsi="Times New Roman"/>
          <w:color w:val="000000" w:themeColor="text1"/>
          <w:kern w:val="0"/>
          <w:sz w:val="24"/>
          <w:szCs w:val="20"/>
        </w:rPr>
        <w:t>按照评审小组评审结果，</w:t>
      </w:r>
      <w:r>
        <w:rPr>
          <w:rFonts w:ascii="Times New Roman" w:hAnsi="Times New Roman"/>
          <w:color w:val="000000" w:themeColor="text1"/>
          <w:kern w:val="0"/>
          <w:sz w:val="24"/>
          <w:szCs w:val="20"/>
        </w:rPr>
        <w:t>推荐</w:t>
      </w:r>
      <w:r>
        <w:rPr>
          <w:rFonts w:hint="eastAsia" w:ascii="Times New Roman" w:hAnsi="Times New Roman"/>
          <w:color w:val="000000" w:themeColor="text1"/>
          <w:kern w:val="0"/>
          <w:sz w:val="24"/>
          <w:szCs w:val="20"/>
        </w:rPr>
        <w:t>1</w:t>
      </w:r>
      <w:r>
        <w:rPr>
          <w:rFonts w:ascii="Times New Roman" w:hAnsi="Times New Roman"/>
          <w:color w:val="000000" w:themeColor="text1"/>
          <w:kern w:val="0"/>
          <w:sz w:val="24"/>
          <w:szCs w:val="20"/>
        </w:rPr>
        <w:t>家</w:t>
      </w:r>
      <w:r>
        <w:rPr>
          <w:rFonts w:hint="eastAsia" w:ascii="Times New Roman" w:hAnsi="Times New Roman"/>
          <w:color w:val="000000" w:themeColor="text1"/>
          <w:kern w:val="0"/>
          <w:sz w:val="24"/>
          <w:szCs w:val="20"/>
        </w:rPr>
        <w:t>候选中商人和1家第二候选中商人（如有）。</w:t>
      </w:r>
    </w:p>
    <w:p w14:paraId="7F15C202">
      <w:pPr>
        <w:snapToGrid w:val="0"/>
        <w:spacing w:line="360" w:lineRule="auto"/>
        <w:ind w:firstLine="555"/>
        <w:rPr>
          <w:color w:val="000000" w:themeColor="text1"/>
          <w:sz w:val="28"/>
        </w:rPr>
      </w:pPr>
      <w:r>
        <w:rPr>
          <w:rFonts w:hint="eastAsia"/>
          <w:color w:val="000000" w:themeColor="text1"/>
        </w:rPr>
        <w:t>招商单位在国铁招商(网址：</w:t>
      </w:r>
      <w:r>
        <w:rPr>
          <w:bCs/>
          <w:color w:val="000000" w:themeColor="text1"/>
        </w:rPr>
        <w:t>https://zs.95306.cn</w:t>
      </w:r>
      <w:r>
        <w:rPr>
          <w:rFonts w:hint="eastAsia"/>
          <w:color w:val="000000" w:themeColor="text1"/>
        </w:rPr>
        <w:t xml:space="preserve"> )和爱上铁公众号平台公示候选中商人，公示期为三个工作日。</w:t>
      </w:r>
    </w:p>
    <w:p w14:paraId="51C279E8">
      <w:pPr>
        <w:numPr>
          <w:ilvl w:val="1"/>
          <w:numId w:val="1"/>
        </w:numPr>
        <w:spacing w:line="360" w:lineRule="auto"/>
        <w:ind w:left="-240" w:leftChars="0" w:firstLineChars="0"/>
        <w:rPr>
          <w:color w:val="000000" w:themeColor="text1"/>
        </w:rPr>
      </w:pPr>
      <w:bookmarkStart w:id="883" w:name="_Toc434462201"/>
      <w:bookmarkStart w:id="884" w:name="_Toc2063841"/>
      <w:bookmarkStart w:id="885" w:name="_Toc2063710"/>
      <w:bookmarkStart w:id="886" w:name="_Toc434897315"/>
      <w:bookmarkStart w:id="887" w:name="_Toc8343718"/>
      <w:bookmarkStart w:id="888" w:name="_Toc434462812"/>
      <w:bookmarkStart w:id="889" w:name="_Ref213844684"/>
      <w:bookmarkStart w:id="890" w:name="_Toc452306119"/>
      <w:bookmarkStart w:id="891" w:name="_Ref452639103"/>
      <w:bookmarkStart w:id="892" w:name="_Toc51493904"/>
      <w:bookmarkStart w:id="893" w:name="_Toc52930781"/>
      <w:bookmarkStart w:id="894" w:name="_Toc452800707"/>
      <w:bookmarkStart w:id="895" w:name="_Toc452726962"/>
      <w:bookmarkStart w:id="896" w:name="_Toc51494283"/>
      <w:bookmarkStart w:id="897" w:name="_Toc2063585"/>
      <w:bookmarkStart w:id="898" w:name="_Toc452727322"/>
      <w:bookmarkStart w:id="899" w:name="_Ref357166672"/>
      <w:r>
        <w:rPr>
          <w:color w:val="000000" w:themeColor="text1"/>
        </w:rPr>
        <w:t>候选</w:t>
      </w:r>
      <w:r>
        <w:rPr>
          <w:rFonts w:hint="eastAsia"/>
          <w:color w:val="000000" w:themeColor="text1"/>
        </w:rPr>
        <w:t>中商人</w:t>
      </w:r>
      <w:r>
        <w:rPr>
          <w:color w:val="000000" w:themeColor="text1"/>
        </w:rPr>
        <w:t>放弃中</w:t>
      </w:r>
      <w:r>
        <w:rPr>
          <w:rFonts w:hint="eastAsia"/>
          <w:color w:val="000000" w:themeColor="text1"/>
        </w:rPr>
        <w:t>商</w:t>
      </w:r>
      <w:r>
        <w:rPr>
          <w:color w:val="000000" w:themeColor="text1"/>
        </w:rPr>
        <w:t>、因不可抗力不能履行合同、不按照招商文件要求提交履约保证金，或者被查实存在影响中</w:t>
      </w:r>
      <w:r>
        <w:rPr>
          <w:rFonts w:hint="eastAsia"/>
          <w:color w:val="000000" w:themeColor="text1"/>
        </w:rPr>
        <w:t>商</w:t>
      </w:r>
      <w:r>
        <w:rPr>
          <w:color w:val="000000" w:themeColor="text1"/>
        </w:rPr>
        <w:t>结果的违法行为等情形，不符合</w:t>
      </w:r>
      <w:r>
        <w:rPr>
          <w:rFonts w:hint="eastAsia"/>
          <w:color w:val="000000" w:themeColor="text1"/>
        </w:rPr>
        <w:t>选定</w:t>
      </w:r>
      <w:r>
        <w:rPr>
          <w:color w:val="000000" w:themeColor="text1"/>
        </w:rPr>
        <w:t>条件的，招商</w:t>
      </w:r>
      <w:r>
        <w:rPr>
          <w:rFonts w:hint="eastAsia"/>
          <w:color w:val="000000" w:themeColor="text1"/>
        </w:rPr>
        <w:t>人重新组织招商或经招商人相应程序后由第二候选中商人（如有）递补，</w:t>
      </w:r>
      <w:r>
        <w:rPr>
          <w:color w:val="000000" w:themeColor="text1"/>
        </w:rPr>
        <w:t>从而确定本次招商的</w:t>
      </w:r>
      <w:r>
        <w:rPr>
          <w:rFonts w:hint="eastAsia"/>
          <w:color w:val="000000" w:themeColor="text1"/>
        </w:rPr>
        <w:t>中商人</w:t>
      </w:r>
      <w:r>
        <w:rPr>
          <w:color w:val="000000" w:themeColor="text1"/>
        </w:rPr>
        <w:t>。</w:t>
      </w:r>
    </w:p>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14:paraId="195F6ACA">
      <w:pPr>
        <w:numPr>
          <w:ilvl w:val="1"/>
          <w:numId w:val="1"/>
        </w:numPr>
        <w:spacing w:line="360" w:lineRule="auto"/>
        <w:ind w:left="-240" w:leftChars="0" w:firstLineChars="0"/>
        <w:rPr>
          <w:color w:val="000000" w:themeColor="text1"/>
        </w:rPr>
      </w:pPr>
      <w:r>
        <w:rPr>
          <w:rFonts w:hint="eastAsia"/>
          <w:color w:val="000000" w:themeColor="text1"/>
        </w:rPr>
        <w:t>候选中商人</w:t>
      </w:r>
      <w:r>
        <w:rPr>
          <w:color w:val="000000" w:themeColor="text1"/>
        </w:rPr>
        <w:t>的经营、财务状况发生较大变化或者存在违法行为，招商单位认为可能影响其履约能力的，将在发出中</w:t>
      </w:r>
      <w:r>
        <w:rPr>
          <w:rFonts w:hint="eastAsia"/>
          <w:color w:val="000000" w:themeColor="text1"/>
        </w:rPr>
        <w:t>商通知书</w:t>
      </w:r>
      <w:r>
        <w:rPr>
          <w:color w:val="000000" w:themeColor="text1"/>
        </w:rPr>
        <w:t>前由原</w:t>
      </w:r>
      <w:r>
        <w:rPr>
          <w:rFonts w:hint="eastAsia"/>
          <w:color w:val="000000" w:themeColor="text1"/>
        </w:rPr>
        <w:t>评审小组</w:t>
      </w:r>
      <w:r>
        <w:rPr>
          <w:color w:val="000000" w:themeColor="text1"/>
        </w:rPr>
        <w:t>按照招商文件规定的标准和方法审查确认，并在确认之后取消其中</w:t>
      </w:r>
      <w:r>
        <w:rPr>
          <w:rFonts w:hint="eastAsia"/>
          <w:color w:val="000000" w:themeColor="text1"/>
        </w:rPr>
        <w:t>商</w:t>
      </w:r>
      <w:r>
        <w:rPr>
          <w:color w:val="000000" w:themeColor="text1"/>
        </w:rPr>
        <w:t>资格。</w:t>
      </w:r>
    </w:p>
    <w:p w14:paraId="43A285E4">
      <w:pPr>
        <w:pStyle w:val="2"/>
        <w:spacing w:before="0" w:after="0" w:line="360" w:lineRule="auto"/>
        <w:rPr>
          <w:rFonts w:ascii="Times New Roman"/>
          <w:color w:val="000000" w:themeColor="text1"/>
        </w:rPr>
      </w:pPr>
      <w:bookmarkStart w:id="900" w:name="_Toc354606480"/>
      <w:bookmarkEnd w:id="900"/>
      <w:bookmarkStart w:id="901" w:name="_Toc354575286"/>
      <w:bookmarkEnd w:id="901"/>
      <w:bookmarkStart w:id="902" w:name="_Toc354606569"/>
      <w:bookmarkEnd w:id="902"/>
      <w:bookmarkStart w:id="903" w:name="_Toc336238893"/>
      <w:bookmarkStart w:id="904" w:name="_Toc53100404"/>
      <w:bookmarkStart w:id="905" w:name="_Toc66355983"/>
      <w:bookmarkStart w:id="906" w:name="_Ref434458574"/>
      <w:bookmarkStart w:id="907" w:name="_Toc77318600"/>
      <w:bookmarkStart w:id="908" w:name="_Toc53100487"/>
      <w:bookmarkStart w:id="909" w:name="_Toc336241657"/>
      <w:bookmarkStart w:id="910" w:name="_Toc336245490"/>
      <w:bookmarkStart w:id="911" w:name="_Toc338851140"/>
      <w:bookmarkStart w:id="912" w:name="_Toc434462202"/>
      <w:bookmarkStart w:id="913" w:name="_Toc282417451"/>
      <w:bookmarkStart w:id="914" w:name="_Toc359506473"/>
      <w:bookmarkStart w:id="915" w:name="_Toc434462813"/>
      <w:bookmarkStart w:id="916" w:name="_Toc434897316"/>
      <w:bookmarkStart w:id="917" w:name="_Toc2063842"/>
      <w:bookmarkStart w:id="918" w:name="_Toc354606570"/>
      <w:bookmarkStart w:id="919" w:name="_Toc52930782"/>
      <w:bookmarkStart w:id="920" w:name="_Toc213516195"/>
      <w:bookmarkStart w:id="921" w:name="_Toc283735899"/>
      <w:bookmarkStart w:id="922" w:name="_Toc452727323"/>
      <w:bookmarkStart w:id="923" w:name="_Toc283624785"/>
      <w:bookmarkStart w:id="924" w:name="_Toc354606481"/>
      <w:bookmarkStart w:id="925" w:name="_Toc213520753"/>
      <w:bookmarkStart w:id="926" w:name="_Toc51494284"/>
      <w:bookmarkStart w:id="927" w:name="_Toc283490394"/>
      <w:bookmarkStart w:id="928" w:name="_Toc355702891"/>
      <w:bookmarkStart w:id="929" w:name="_Toc283376843"/>
      <w:bookmarkStart w:id="930" w:name="_Toc452800708"/>
      <w:bookmarkStart w:id="931" w:name="_Toc257903089"/>
      <w:bookmarkStart w:id="932" w:name="_Toc282703529"/>
      <w:bookmarkStart w:id="933" w:name="_Toc60191150"/>
      <w:bookmarkStart w:id="934" w:name="_Toc51493905"/>
      <w:bookmarkStart w:id="935" w:name="_Toc339016059"/>
      <w:bookmarkStart w:id="936" w:name="_Toc213155161"/>
      <w:bookmarkStart w:id="937" w:name="_Toc452306120"/>
      <w:bookmarkStart w:id="938" w:name="_Toc8343719"/>
      <w:bookmarkStart w:id="939" w:name="_Toc283892562"/>
      <w:bookmarkStart w:id="940" w:name="_Toc452726963"/>
      <w:bookmarkStart w:id="941" w:name="_Toc2063586"/>
      <w:bookmarkStart w:id="942" w:name="_Toc66355909"/>
      <w:bookmarkStart w:id="943" w:name="_Toc2063711"/>
      <w:bookmarkStart w:id="944" w:name="_Toc20262"/>
      <w:r>
        <w:rPr>
          <w:rFonts w:ascii="Times New Roman"/>
          <w:color w:val="000000" w:themeColor="text1"/>
        </w:rPr>
        <w:t>招商</w:t>
      </w:r>
      <w:r>
        <w:rPr>
          <w:rFonts w:hint="eastAsia" w:ascii="Times New Roman"/>
          <w:color w:val="000000" w:themeColor="text1"/>
        </w:rPr>
        <w:t>人</w:t>
      </w:r>
      <w:r>
        <w:rPr>
          <w:rFonts w:ascii="Times New Roman"/>
          <w:color w:val="000000" w:themeColor="text1"/>
        </w:rPr>
        <w:t>否决所有竞商的权利</w:t>
      </w:r>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p>
    <w:p w14:paraId="4915B4E9">
      <w:pPr>
        <w:numPr>
          <w:ilvl w:val="1"/>
          <w:numId w:val="1"/>
        </w:numPr>
        <w:spacing w:line="360" w:lineRule="auto"/>
        <w:ind w:left="-240" w:leftChars="0" w:firstLineChars="0"/>
        <w:rPr>
          <w:color w:val="000000" w:themeColor="text1"/>
        </w:rPr>
      </w:pPr>
      <w:r>
        <w:rPr>
          <w:color w:val="000000" w:themeColor="text1"/>
        </w:rPr>
        <w:t>在</w:t>
      </w:r>
      <w:r>
        <w:rPr>
          <w:rFonts w:hint="eastAsia"/>
          <w:color w:val="000000" w:themeColor="text1"/>
        </w:rPr>
        <w:t>发布中商通知书</w:t>
      </w:r>
      <w:r>
        <w:rPr>
          <w:color w:val="000000" w:themeColor="text1"/>
        </w:rPr>
        <w:t>之前，为了公共利益，招商</w:t>
      </w:r>
      <w:r>
        <w:rPr>
          <w:rFonts w:hint="eastAsia"/>
          <w:color w:val="000000" w:themeColor="text1"/>
        </w:rPr>
        <w:t>人</w:t>
      </w:r>
      <w:r>
        <w:rPr>
          <w:color w:val="000000" w:themeColor="text1"/>
        </w:rPr>
        <w:t>可以在任何时候宣布招商程序无效或否决所有竞商</w:t>
      </w:r>
      <w:r>
        <w:rPr>
          <w:rFonts w:hint="eastAsia"/>
          <w:color w:val="000000" w:themeColor="text1"/>
        </w:rPr>
        <w:t>文件</w:t>
      </w:r>
      <w:r>
        <w:rPr>
          <w:color w:val="000000" w:themeColor="text1"/>
        </w:rPr>
        <w:t>的权利，对受影响的竞商人不承担任何责任，也无义务向受影响的竞商人解释采取这一行动的理由。</w:t>
      </w:r>
      <w:bookmarkStart w:id="945" w:name="_Toc51493906"/>
      <w:bookmarkStart w:id="946" w:name="_Toc51494285"/>
      <w:bookmarkStart w:id="947" w:name="_Toc52930783"/>
    </w:p>
    <w:p w14:paraId="61B38E86">
      <w:pPr>
        <w:pStyle w:val="2"/>
        <w:spacing w:before="0" w:after="0" w:line="360" w:lineRule="auto"/>
        <w:rPr>
          <w:rFonts w:ascii="Times New Roman"/>
          <w:color w:val="000000" w:themeColor="text1"/>
        </w:rPr>
      </w:pPr>
      <w:bookmarkStart w:id="948" w:name="_Toc257903090"/>
      <w:bookmarkStart w:id="949" w:name="_Toc354606571"/>
      <w:bookmarkStart w:id="950" w:name="_Toc213520754"/>
      <w:bookmarkStart w:id="951" w:name="_Toc53100405"/>
      <w:bookmarkStart w:id="952" w:name="_Toc53100488"/>
      <w:bookmarkStart w:id="953" w:name="_Toc213155162"/>
      <w:bookmarkStart w:id="954" w:name="_Toc283624786"/>
      <w:bookmarkStart w:id="955" w:name="_Toc23844"/>
      <w:bookmarkStart w:id="956" w:name="_Toc336238894"/>
      <w:bookmarkStart w:id="957" w:name="_Toc66355910"/>
      <w:bookmarkStart w:id="958" w:name="_Toc354606482"/>
      <w:bookmarkStart w:id="959" w:name="_Toc77318601"/>
      <w:bookmarkStart w:id="960" w:name="_Toc338851141"/>
      <w:bookmarkStart w:id="961" w:name="_Toc213516196"/>
      <w:bookmarkStart w:id="962" w:name="_Toc282703530"/>
      <w:bookmarkStart w:id="963" w:name="_Toc339016060"/>
      <w:bookmarkStart w:id="964" w:name="_Toc283735900"/>
      <w:bookmarkStart w:id="965" w:name="_Toc355702892"/>
      <w:bookmarkStart w:id="966" w:name="_Toc283490395"/>
      <w:bookmarkStart w:id="967" w:name="_Toc66355984"/>
      <w:bookmarkStart w:id="968" w:name="_Toc283892563"/>
      <w:bookmarkStart w:id="969" w:name="_Toc336245491"/>
      <w:bookmarkStart w:id="970" w:name="_Toc60191151"/>
      <w:bookmarkStart w:id="971" w:name="_Toc336241658"/>
      <w:bookmarkStart w:id="972" w:name="_Toc359506474"/>
      <w:bookmarkStart w:id="973" w:name="_Toc283376844"/>
      <w:bookmarkStart w:id="974" w:name="_Toc282417452"/>
      <w:r>
        <w:rPr>
          <w:rFonts w:hint="eastAsia" w:ascii="Times New Roman"/>
          <w:color w:val="000000" w:themeColor="text1"/>
        </w:rPr>
        <w:t>选定</w:t>
      </w:r>
      <w:r>
        <w:rPr>
          <w:rFonts w:ascii="Times New Roman"/>
          <w:color w:val="000000" w:themeColor="text1"/>
        </w:rPr>
        <w:t>通知</w:t>
      </w:r>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p>
    <w:p w14:paraId="5EAF3CF6">
      <w:pPr>
        <w:numPr>
          <w:ilvl w:val="1"/>
          <w:numId w:val="1"/>
        </w:numPr>
        <w:spacing w:line="360" w:lineRule="auto"/>
        <w:ind w:left="-240" w:leftChars="0" w:firstLineChars="0"/>
        <w:rPr>
          <w:color w:val="000000" w:themeColor="text1"/>
        </w:rPr>
      </w:pPr>
      <w:r>
        <w:rPr>
          <w:color w:val="000000" w:themeColor="text1"/>
        </w:rPr>
        <w:t>在评审结束后，招商</w:t>
      </w:r>
      <w:r>
        <w:rPr>
          <w:rFonts w:hint="eastAsia"/>
          <w:color w:val="000000" w:themeColor="text1"/>
        </w:rPr>
        <w:t>人</w:t>
      </w:r>
      <w:r>
        <w:rPr>
          <w:color w:val="000000" w:themeColor="text1"/>
        </w:rPr>
        <w:t>将以书面形式发出中</w:t>
      </w:r>
      <w:r>
        <w:rPr>
          <w:rFonts w:hint="eastAsia"/>
          <w:color w:val="000000" w:themeColor="text1"/>
        </w:rPr>
        <w:t>商通知书</w:t>
      </w:r>
      <w:r>
        <w:rPr>
          <w:color w:val="000000" w:themeColor="text1"/>
        </w:rPr>
        <w:t>。发出该通知书的时间不晚于竞商有效期届满之日。</w:t>
      </w:r>
    </w:p>
    <w:p w14:paraId="156EBEE9">
      <w:pPr>
        <w:numPr>
          <w:ilvl w:val="1"/>
          <w:numId w:val="1"/>
        </w:numPr>
        <w:spacing w:line="360" w:lineRule="auto"/>
        <w:ind w:left="-240" w:leftChars="0" w:firstLineChars="0"/>
        <w:rPr>
          <w:color w:val="000000" w:themeColor="text1"/>
        </w:rPr>
      </w:pPr>
      <w:r>
        <w:rPr>
          <w:color w:val="000000" w:themeColor="text1"/>
        </w:rPr>
        <w:t>招商</w:t>
      </w:r>
      <w:r>
        <w:rPr>
          <w:rFonts w:hint="eastAsia"/>
          <w:color w:val="000000" w:themeColor="text1"/>
        </w:rPr>
        <w:t>人</w:t>
      </w:r>
      <w:r>
        <w:rPr>
          <w:color w:val="000000" w:themeColor="text1"/>
        </w:rPr>
        <w:t>在向中</w:t>
      </w:r>
      <w:r>
        <w:rPr>
          <w:rFonts w:hint="eastAsia"/>
          <w:color w:val="000000" w:themeColor="text1"/>
        </w:rPr>
        <w:t>商人</w:t>
      </w:r>
      <w:r>
        <w:rPr>
          <w:color w:val="000000" w:themeColor="text1"/>
        </w:rPr>
        <w:t>发出中</w:t>
      </w:r>
      <w:r>
        <w:rPr>
          <w:rFonts w:hint="eastAsia"/>
          <w:color w:val="000000" w:themeColor="text1"/>
        </w:rPr>
        <w:t>商通知书</w:t>
      </w:r>
      <w:r>
        <w:rPr>
          <w:color w:val="000000" w:themeColor="text1"/>
        </w:rPr>
        <w:t>，</w:t>
      </w:r>
      <w:r>
        <w:rPr>
          <w:rFonts w:hint="eastAsia"/>
          <w:color w:val="000000" w:themeColor="text1"/>
        </w:rPr>
        <w:t>不</w:t>
      </w:r>
      <w:r>
        <w:rPr>
          <w:color w:val="000000" w:themeColor="text1"/>
        </w:rPr>
        <w:t>向未</w:t>
      </w:r>
      <w:r>
        <w:rPr>
          <w:rFonts w:hint="eastAsia"/>
          <w:color w:val="000000" w:themeColor="text1"/>
        </w:rPr>
        <w:t>选定的竞商人</w:t>
      </w:r>
      <w:r>
        <w:rPr>
          <w:color w:val="000000" w:themeColor="text1"/>
        </w:rPr>
        <w:t>发出</w:t>
      </w:r>
      <w:r>
        <w:rPr>
          <w:rFonts w:hint="eastAsia"/>
          <w:color w:val="000000" w:themeColor="text1"/>
        </w:rPr>
        <w:t>未选定通知或说明，招商人对未中商人，不作任何未中商解释</w:t>
      </w:r>
      <w:r>
        <w:rPr>
          <w:color w:val="000000" w:themeColor="text1"/>
        </w:rPr>
        <w:t>。</w:t>
      </w:r>
    </w:p>
    <w:p w14:paraId="3AC18A6B">
      <w:pPr>
        <w:pStyle w:val="2"/>
        <w:spacing w:before="0" w:after="0" w:line="360" w:lineRule="auto"/>
        <w:rPr>
          <w:rFonts w:ascii="Times New Roman"/>
          <w:color w:val="000000" w:themeColor="text1"/>
        </w:rPr>
      </w:pPr>
      <w:bookmarkStart w:id="975" w:name="_Ref378436784"/>
      <w:bookmarkStart w:id="976" w:name="_Toc77318602"/>
      <w:bookmarkStart w:id="977" w:name="_Toc29289"/>
      <w:r>
        <w:rPr>
          <w:rFonts w:ascii="Times New Roman"/>
          <w:color w:val="000000" w:themeColor="text1"/>
        </w:rPr>
        <w:t>履约保证金的提交</w:t>
      </w:r>
      <w:bookmarkEnd w:id="899"/>
      <w:bookmarkEnd w:id="975"/>
      <w:bookmarkEnd w:id="976"/>
      <w:bookmarkEnd w:id="977"/>
    </w:p>
    <w:p w14:paraId="04DE917D">
      <w:pPr>
        <w:numPr>
          <w:ilvl w:val="1"/>
          <w:numId w:val="1"/>
        </w:numPr>
        <w:spacing w:line="360" w:lineRule="auto"/>
        <w:ind w:left="-240" w:leftChars="0" w:firstLineChars="0"/>
        <w:rPr>
          <w:color w:val="000000" w:themeColor="text1"/>
        </w:rPr>
      </w:pPr>
      <w:r>
        <w:rPr>
          <w:color w:val="000000" w:themeColor="text1"/>
        </w:rPr>
        <w:t>中</w:t>
      </w:r>
      <w:r>
        <w:rPr>
          <w:rFonts w:hint="eastAsia"/>
          <w:color w:val="000000" w:themeColor="text1"/>
        </w:rPr>
        <w:t>商人</w:t>
      </w:r>
      <w:r>
        <w:rPr>
          <w:color w:val="000000" w:themeColor="text1"/>
        </w:rPr>
        <w:t>应</w:t>
      </w:r>
      <w:r>
        <w:rPr>
          <w:rFonts w:hint="eastAsia"/>
          <w:color w:val="000000" w:themeColor="text1"/>
        </w:rPr>
        <w:t>按铁路经营场所租赁和服务合同的约定的时间和金额向</w:t>
      </w:r>
      <w:r>
        <w:rPr>
          <w:color w:val="000000" w:themeColor="text1"/>
        </w:rPr>
        <w:t>招商单位指定账户</w:t>
      </w:r>
      <w:r>
        <w:rPr>
          <w:rFonts w:hint="eastAsia"/>
          <w:color w:val="000000" w:themeColor="text1"/>
        </w:rPr>
        <w:t>提交一笔</w:t>
      </w:r>
      <w:r>
        <w:rPr>
          <w:color w:val="000000" w:themeColor="text1"/>
        </w:rPr>
        <w:t>履约保证金</w:t>
      </w:r>
      <w:r>
        <w:rPr>
          <w:rFonts w:hint="eastAsia"/>
          <w:color w:val="000000" w:themeColor="text1"/>
        </w:rPr>
        <w:t>。</w:t>
      </w:r>
    </w:p>
    <w:p w14:paraId="7C62E97D">
      <w:pPr>
        <w:numPr>
          <w:ilvl w:val="1"/>
          <w:numId w:val="1"/>
        </w:numPr>
        <w:spacing w:line="360" w:lineRule="auto"/>
        <w:ind w:left="-240" w:leftChars="0" w:firstLineChars="0"/>
        <w:rPr>
          <w:color w:val="000000" w:themeColor="text1"/>
        </w:rPr>
      </w:pPr>
      <w:r>
        <w:rPr>
          <w:color w:val="000000" w:themeColor="text1"/>
        </w:rPr>
        <w:t>如果中</w:t>
      </w:r>
      <w:r>
        <w:rPr>
          <w:rFonts w:hint="eastAsia"/>
          <w:color w:val="000000" w:themeColor="text1"/>
        </w:rPr>
        <w:t>商人</w:t>
      </w:r>
      <w:r>
        <w:rPr>
          <w:color w:val="000000" w:themeColor="text1"/>
        </w:rPr>
        <w:t>不按照上述规定提交履约保证金的，招商</w:t>
      </w:r>
      <w:r>
        <w:rPr>
          <w:rFonts w:hint="eastAsia"/>
          <w:color w:val="000000" w:themeColor="text1"/>
        </w:rPr>
        <w:t>人</w:t>
      </w:r>
      <w:r>
        <w:rPr>
          <w:color w:val="000000" w:themeColor="text1"/>
        </w:rPr>
        <w:t>有权取消其中</w:t>
      </w:r>
      <w:r>
        <w:rPr>
          <w:rFonts w:hint="eastAsia"/>
          <w:color w:val="000000" w:themeColor="text1"/>
        </w:rPr>
        <w:t>商</w:t>
      </w:r>
      <w:r>
        <w:rPr>
          <w:color w:val="000000" w:themeColor="text1"/>
        </w:rPr>
        <w:t>资格。</w:t>
      </w:r>
    </w:p>
    <w:p w14:paraId="7C01CEE4">
      <w:pPr>
        <w:pStyle w:val="2"/>
        <w:spacing w:before="0" w:after="0" w:line="360" w:lineRule="auto"/>
        <w:rPr>
          <w:rFonts w:ascii="Times New Roman"/>
          <w:color w:val="000000" w:themeColor="text1"/>
        </w:rPr>
      </w:pPr>
      <w:bookmarkStart w:id="978" w:name="_Toc357267794"/>
      <w:bookmarkEnd w:id="978"/>
      <w:bookmarkStart w:id="979" w:name="_Toc357267792"/>
      <w:bookmarkEnd w:id="979"/>
      <w:bookmarkStart w:id="980" w:name="_Toc357267796"/>
      <w:bookmarkEnd w:id="980"/>
      <w:bookmarkStart w:id="981" w:name="_Toc357267797"/>
      <w:bookmarkEnd w:id="981"/>
      <w:bookmarkStart w:id="982" w:name="_Toc357267793"/>
      <w:bookmarkEnd w:id="982"/>
      <w:bookmarkStart w:id="983" w:name="_Toc357267795"/>
      <w:bookmarkEnd w:id="983"/>
      <w:bookmarkStart w:id="984" w:name="_Toc282703531"/>
      <w:bookmarkStart w:id="985" w:name="_Toc66355985"/>
      <w:bookmarkStart w:id="986" w:name="_Toc354606483"/>
      <w:bookmarkStart w:id="987" w:name="_Toc213520755"/>
      <w:bookmarkStart w:id="988" w:name="_Toc283735901"/>
      <w:bookmarkStart w:id="989" w:name="_Toc213155163"/>
      <w:bookmarkStart w:id="990" w:name="_Toc354606572"/>
      <w:bookmarkStart w:id="991" w:name="_Toc53100406"/>
      <w:bookmarkStart w:id="992" w:name="_Toc339016061"/>
      <w:bookmarkStart w:id="993" w:name="_Toc336238895"/>
      <w:bookmarkStart w:id="994" w:name="_Toc338851142"/>
      <w:bookmarkStart w:id="995" w:name="_Toc52930784"/>
      <w:bookmarkStart w:id="996" w:name="_Toc336245492"/>
      <w:bookmarkStart w:id="997" w:name="_Ref51492391"/>
      <w:bookmarkStart w:id="998" w:name="_Toc257903091"/>
      <w:bookmarkStart w:id="999" w:name="_Toc29899"/>
      <w:bookmarkStart w:id="1000" w:name="_Toc77318603"/>
      <w:bookmarkStart w:id="1001" w:name="_Toc283376845"/>
      <w:bookmarkStart w:id="1002" w:name="_Toc213516197"/>
      <w:bookmarkStart w:id="1003" w:name="_Toc53100489"/>
      <w:bookmarkStart w:id="1004" w:name="_Toc283490396"/>
      <w:bookmarkStart w:id="1005" w:name="_Toc282417453"/>
      <w:bookmarkStart w:id="1006" w:name="_Toc283892564"/>
      <w:bookmarkStart w:id="1007" w:name="_Toc336241659"/>
      <w:bookmarkStart w:id="1008" w:name="_Toc60191152"/>
      <w:bookmarkStart w:id="1009" w:name="_Toc51494286"/>
      <w:bookmarkStart w:id="1010" w:name="_Toc355702893"/>
      <w:bookmarkStart w:id="1011" w:name="_Toc66355911"/>
      <w:bookmarkStart w:id="1012" w:name="_Toc283624787"/>
      <w:bookmarkStart w:id="1013" w:name="_Toc51493907"/>
      <w:r>
        <w:rPr>
          <w:rFonts w:ascii="Times New Roman"/>
          <w:color w:val="000000" w:themeColor="text1"/>
        </w:rPr>
        <w:t>签订合同</w:t>
      </w:r>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Start w:id="1014" w:name="_Ref51400913"/>
    </w:p>
    <w:bookmarkEnd w:id="1014"/>
    <w:p w14:paraId="4D79BD33">
      <w:pPr>
        <w:numPr>
          <w:ilvl w:val="1"/>
          <w:numId w:val="1"/>
        </w:numPr>
        <w:spacing w:line="360" w:lineRule="auto"/>
        <w:ind w:left="-240" w:leftChars="0" w:firstLineChars="0"/>
        <w:rPr>
          <w:color w:val="000000" w:themeColor="text1"/>
        </w:rPr>
      </w:pPr>
      <w:r>
        <w:rPr>
          <w:color w:val="000000" w:themeColor="text1"/>
        </w:rPr>
        <w:t>中</w:t>
      </w:r>
      <w:r>
        <w:rPr>
          <w:rFonts w:hint="eastAsia"/>
          <w:color w:val="000000" w:themeColor="text1"/>
        </w:rPr>
        <w:t>商人</w:t>
      </w:r>
      <w:r>
        <w:rPr>
          <w:color w:val="000000" w:themeColor="text1"/>
        </w:rPr>
        <w:t>应在中</w:t>
      </w:r>
      <w:r>
        <w:rPr>
          <w:rFonts w:hint="eastAsia"/>
          <w:color w:val="000000" w:themeColor="text1"/>
        </w:rPr>
        <w:t>商通知书发出</w:t>
      </w:r>
      <w:r>
        <w:rPr>
          <w:color w:val="000000" w:themeColor="text1"/>
        </w:rPr>
        <w:t>后</w:t>
      </w:r>
      <w:r>
        <w:rPr>
          <w:rFonts w:hint="eastAsia"/>
          <w:color w:val="000000" w:themeColor="text1"/>
        </w:rPr>
        <w:t>1个月内，</w:t>
      </w:r>
      <w:r>
        <w:rPr>
          <w:color w:val="000000" w:themeColor="text1"/>
        </w:rPr>
        <w:t>委派授权代表在招商单位指定的时间</w:t>
      </w:r>
      <w:r>
        <w:rPr>
          <w:rFonts w:hint="eastAsia"/>
          <w:color w:val="000000" w:themeColor="text1"/>
        </w:rPr>
        <w:t>内</w:t>
      </w:r>
      <w:r>
        <w:rPr>
          <w:color w:val="000000" w:themeColor="text1"/>
        </w:rPr>
        <w:t>与招商</w:t>
      </w:r>
      <w:r>
        <w:rPr>
          <w:rFonts w:hint="eastAsia"/>
          <w:color w:val="000000" w:themeColor="text1"/>
        </w:rPr>
        <w:t>人或招商人指定的下属单位</w:t>
      </w:r>
      <w:r>
        <w:rPr>
          <w:color w:val="000000" w:themeColor="text1"/>
        </w:rPr>
        <w:t>按照其</w:t>
      </w:r>
      <w:r>
        <w:rPr>
          <w:rFonts w:hint="eastAsia"/>
          <w:color w:val="000000" w:themeColor="text1"/>
        </w:rPr>
        <w:t>竞商报价</w:t>
      </w:r>
      <w:r>
        <w:rPr>
          <w:color w:val="000000" w:themeColor="text1"/>
        </w:rPr>
        <w:t>金额</w:t>
      </w:r>
      <w:r>
        <w:rPr>
          <w:rFonts w:hint="eastAsia"/>
          <w:color w:val="000000" w:themeColor="text1"/>
        </w:rPr>
        <w:t>等商务条件</w:t>
      </w:r>
      <w:r>
        <w:rPr>
          <w:color w:val="000000" w:themeColor="text1"/>
        </w:rPr>
        <w:t>签署合同。</w:t>
      </w:r>
      <w:r>
        <w:rPr>
          <w:rFonts w:hint="eastAsia"/>
          <w:color w:val="000000" w:themeColor="text1"/>
        </w:rPr>
        <w:t>既有到期商旅点位由原经营商家中商继续经营的合同起始日为原合同到期次日，空置及既有到期商旅点位由新商户中商经营的合同起始日原则上为原合同到期1个月内。</w:t>
      </w:r>
    </w:p>
    <w:p w14:paraId="37DDA53A">
      <w:pPr>
        <w:rPr>
          <w:color w:val="000000" w:themeColor="text1"/>
        </w:rPr>
      </w:pPr>
      <w:r>
        <w:rPr>
          <w:color w:val="000000" w:themeColor="text1"/>
        </w:rPr>
        <w:t>合同条款见第五章。</w:t>
      </w:r>
    </w:p>
    <w:p w14:paraId="4E7B04D8">
      <w:pPr>
        <w:spacing w:line="360" w:lineRule="auto"/>
        <w:ind w:firstLine="240" w:firstLineChars="100"/>
        <w:jc w:val="right"/>
        <w:rPr>
          <w:color w:val="000000" w:themeColor="text1"/>
        </w:rPr>
      </w:pPr>
    </w:p>
    <w:p w14:paraId="3B39ADA2">
      <w:pPr>
        <w:pStyle w:val="63"/>
        <w:rPr>
          <w:color w:val="000000" w:themeColor="text1"/>
        </w:rPr>
      </w:pPr>
    </w:p>
    <w:p w14:paraId="38285CDE">
      <w:pPr>
        <w:rPr>
          <w:color w:val="000000" w:themeColor="text1"/>
        </w:rPr>
      </w:pPr>
    </w:p>
    <w:p w14:paraId="5BFB8A16">
      <w:pPr>
        <w:pStyle w:val="63"/>
      </w:pPr>
    </w:p>
    <w:p w14:paraId="1643F9C5"/>
    <w:p w14:paraId="1D1C28D9"/>
    <w:p w14:paraId="185F0889"/>
    <w:p w14:paraId="2ED4FD47"/>
    <w:p w14:paraId="5CC42DAE"/>
    <w:p w14:paraId="22150E21">
      <w:pPr>
        <w:pStyle w:val="63"/>
        <w:ind w:firstLine="420"/>
      </w:pPr>
    </w:p>
    <w:p w14:paraId="1B5E12FE"/>
    <w:p w14:paraId="4336E324">
      <w:pPr>
        <w:pStyle w:val="63"/>
        <w:ind w:left="0" w:leftChars="0" w:firstLine="0" w:firstLineChars="0"/>
      </w:pPr>
    </w:p>
    <w:p w14:paraId="3E404B46">
      <w:pPr>
        <w:spacing w:line="360" w:lineRule="auto"/>
        <w:ind w:firstLine="240" w:firstLineChars="100"/>
        <w:jc w:val="right"/>
        <w:rPr>
          <w:rFonts w:hint="default" w:eastAsia="宋体"/>
          <w:color w:val="auto"/>
          <w:lang w:val="en-US" w:eastAsia="zh-CN"/>
        </w:rPr>
      </w:pPr>
      <w:r>
        <w:rPr>
          <w:color w:val="auto"/>
        </w:rPr>
        <w:t>编号：SL-</w:t>
      </w:r>
      <w:r>
        <w:rPr>
          <w:rFonts w:hint="eastAsia"/>
          <w:color w:val="auto"/>
          <w:lang w:val="en-US" w:eastAsia="zh-CN"/>
        </w:rPr>
        <w:t>2025</w:t>
      </w:r>
      <w:r>
        <w:rPr>
          <w:color w:val="auto"/>
        </w:rPr>
        <w:t>-</w:t>
      </w:r>
      <w:r>
        <w:rPr>
          <w:rFonts w:hint="eastAsia"/>
          <w:color w:val="auto"/>
          <w:lang w:val="en-US" w:eastAsia="zh-CN"/>
        </w:rPr>
        <w:t>9</w:t>
      </w:r>
      <w:r>
        <w:rPr>
          <w:color w:val="auto"/>
        </w:rPr>
        <w:t>-</w:t>
      </w:r>
      <w:r>
        <w:rPr>
          <w:rFonts w:hint="eastAsia"/>
          <w:color w:val="auto"/>
          <w:lang w:val="en-US" w:eastAsia="zh-CN"/>
        </w:rPr>
        <w:t>25</w:t>
      </w:r>
    </w:p>
    <w:p w14:paraId="47CF1AB0">
      <w:pPr>
        <w:pStyle w:val="45"/>
        <w:tabs>
          <w:tab w:val="clear" w:pos="9525"/>
        </w:tabs>
        <w:spacing w:line="360" w:lineRule="auto"/>
        <w:rPr>
          <w:color w:val="000000" w:themeColor="text1"/>
        </w:rPr>
      </w:pPr>
    </w:p>
    <w:p w14:paraId="4AD0CF38">
      <w:pPr>
        <w:spacing w:line="360" w:lineRule="auto"/>
        <w:rPr>
          <w:color w:val="000000" w:themeColor="text1"/>
        </w:rPr>
      </w:pPr>
    </w:p>
    <w:p w14:paraId="0CE28CE0">
      <w:pPr>
        <w:pStyle w:val="17"/>
        <w:numPr>
          <w:ilvl w:val="0"/>
          <w:numId w:val="14"/>
        </w:numPr>
        <w:spacing w:before="0" w:line="360" w:lineRule="auto"/>
        <w:outlineLvl w:val="0"/>
        <w:rPr>
          <w:rFonts w:ascii="Times New Roman" w:hAnsi="Times New Roman"/>
          <w:color w:val="000000" w:themeColor="text1"/>
        </w:rPr>
      </w:pPr>
      <w:bookmarkStart w:id="1015" w:name="_Toc357809888"/>
      <w:bookmarkEnd w:id="1015"/>
      <w:bookmarkStart w:id="1016" w:name="_Toc433369460"/>
      <w:bookmarkStart w:id="1017" w:name="_Toc31338"/>
      <w:r>
        <w:rPr>
          <w:rFonts w:ascii="Times New Roman" w:hAnsi="Times New Roman"/>
          <w:color w:val="000000" w:themeColor="text1"/>
        </w:rPr>
        <w:t>项目情况介绍</w:t>
      </w:r>
      <w:bookmarkEnd w:id="1016"/>
      <w:bookmarkEnd w:id="1017"/>
    </w:p>
    <w:p w14:paraId="57814503">
      <w:pPr>
        <w:pStyle w:val="173"/>
        <w:spacing w:before="0" w:after="0" w:line="360" w:lineRule="auto"/>
        <w:outlineLvl w:val="0"/>
        <w:rPr>
          <w:rFonts w:ascii="Times New Roman"/>
          <w:color w:val="000000" w:themeColor="text1"/>
          <w:sz w:val="44"/>
          <w:szCs w:val="44"/>
        </w:rPr>
      </w:pPr>
      <w:bookmarkStart w:id="1018" w:name="_Toc336238896"/>
      <w:bookmarkStart w:id="1019" w:name="_Toc283376731"/>
      <w:bookmarkStart w:id="1020" w:name="_Toc60191155"/>
      <w:bookmarkStart w:id="1021" w:name="_Toc52961712"/>
      <w:bookmarkStart w:id="1022" w:name="_Toc51494289"/>
      <w:bookmarkStart w:id="1023" w:name="_Toc339464557"/>
      <w:bookmarkStart w:id="1024" w:name="_Toc51493784"/>
      <w:bookmarkStart w:id="1025" w:name="_Toc357265550"/>
      <w:bookmarkStart w:id="1026" w:name="_Toc282703532"/>
      <w:bookmarkStart w:id="1027" w:name="_Toc257903190"/>
      <w:bookmarkStart w:id="1028" w:name="_Toc213516199"/>
      <w:bookmarkStart w:id="1029" w:name="_Toc51493910"/>
      <w:bookmarkStart w:id="1030" w:name="_Toc354575299"/>
      <w:bookmarkStart w:id="1031" w:name="_Toc213155285"/>
      <w:bookmarkStart w:id="1032" w:name="_Toc336244864"/>
      <w:bookmarkStart w:id="1033" w:name="_Toc214175885"/>
      <w:bookmarkStart w:id="1034" w:name="_Toc336241660"/>
      <w:bookmarkStart w:id="1035" w:name="_Toc67311742"/>
      <w:bookmarkStart w:id="1036" w:name="_Toc53100492"/>
      <w:bookmarkStart w:id="1037" w:name="_Toc66355830"/>
      <w:bookmarkStart w:id="1038" w:name="_Toc213155165"/>
      <w:bookmarkStart w:id="1039" w:name="_Toc66355987"/>
      <w:bookmarkStart w:id="1040" w:name="_Toc214341411"/>
      <w:bookmarkStart w:id="1041" w:name="_Toc282418798"/>
      <w:bookmarkStart w:id="1042" w:name="_Toc339015988"/>
      <w:bookmarkStart w:id="1043" w:name="_Toc53100314"/>
      <w:bookmarkStart w:id="1044" w:name="_Toc496099036"/>
      <w:bookmarkStart w:id="1045" w:name="_Toc47513030"/>
      <w:bookmarkStart w:id="1046" w:name="_Toc433187944"/>
      <w:bookmarkStart w:id="1047" w:name="_Toc60663764"/>
      <w:bookmarkStart w:id="1048" w:name="_Toc422249718"/>
      <w:bookmarkStart w:id="1049" w:name="_Toc17473478"/>
      <w:bookmarkStart w:id="1050" w:name="_Toc20595"/>
      <w:bookmarkStart w:id="1051" w:name="_Toc77318615"/>
    </w:p>
    <w:p w14:paraId="5EFC5320">
      <w:pPr>
        <w:pStyle w:val="173"/>
        <w:spacing w:before="0" w:after="0" w:line="360" w:lineRule="auto"/>
        <w:outlineLvl w:val="0"/>
        <w:rPr>
          <w:rFonts w:ascii="Times New Roman"/>
          <w:color w:val="000000" w:themeColor="text1"/>
          <w:sz w:val="44"/>
          <w:szCs w:val="44"/>
        </w:rPr>
      </w:pPr>
    </w:p>
    <w:p w14:paraId="0AEB2BAE">
      <w:pPr>
        <w:pStyle w:val="173"/>
        <w:spacing w:before="0" w:after="0" w:line="360" w:lineRule="auto"/>
        <w:outlineLvl w:val="0"/>
        <w:rPr>
          <w:rFonts w:ascii="Times New Roman"/>
          <w:color w:val="000000" w:themeColor="text1"/>
          <w:sz w:val="44"/>
          <w:szCs w:val="44"/>
        </w:rPr>
      </w:pPr>
    </w:p>
    <w:p w14:paraId="12C3EAE1">
      <w:pPr>
        <w:pStyle w:val="173"/>
        <w:spacing w:before="0" w:after="0" w:line="360" w:lineRule="auto"/>
        <w:outlineLvl w:val="0"/>
        <w:rPr>
          <w:rFonts w:ascii="Times New Roman"/>
          <w:color w:val="000000" w:themeColor="text1"/>
          <w:sz w:val="44"/>
          <w:szCs w:val="44"/>
        </w:rPr>
      </w:pPr>
    </w:p>
    <w:p w14:paraId="64F8B1F1">
      <w:pPr>
        <w:pStyle w:val="173"/>
        <w:spacing w:before="0" w:after="0" w:line="360" w:lineRule="auto"/>
        <w:outlineLvl w:val="0"/>
        <w:rPr>
          <w:rFonts w:ascii="Times New Roman"/>
          <w:color w:val="000000" w:themeColor="text1"/>
          <w:sz w:val="44"/>
          <w:szCs w:val="44"/>
        </w:rPr>
      </w:pPr>
    </w:p>
    <w:p w14:paraId="47B04635">
      <w:pPr>
        <w:pStyle w:val="173"/>
        <w:spacing w:before="0" w:after="0" w:line="360" w:lineRule="auto"/>
        <w:outlineLvl w:val="0"/>
        <w:rPr>
          <w:rFonts w:ascii="Times New Roman"/>
          <w:color w:val="000000" w:themeColor="text1"/>
          <w:sz w:val="44"/>
          <w:szCs w:val="44"/>
        </w:rPr>
      </w:pPr>
    </w:p>
    <w:p w14:paraId="3655CB6A">
      <w:pPr>
        <w:pStyle w:val="173"/>
        <w:spacing w:before="0" w:after="0" w:line="360" w:lineRule="auto"/>
        <w:outlineLvl w:val="0"/>
        <w:rPr>
          <w:rFonts w:ascii="Times New Roman"/>
          <w:color w:val="000000" w:themeColor="text1"/>
          <w:sz w:val="44"/>
          <w:szCs w:val="44"/>
        </w:rPr>
      </w:pPr>
    </w:p>
    <w:p w14:paraId="23FDE897">
      <w:pPr>
        <w:pStyle w:val="173"/>
        <w:spacing w:before="0" w:after="0" w:line="360" w:lineRule="auto"/>
        <w:outlineLvl w:val="0"/>
        <w:rPr>
          <w:rFonts w:ascii="Times New Roman"/>
          <w:color w:val="000000" w:themeColor="text1"/>
          <w:sz w:val="44"/>
          <w:szCs w:val="44"/>
        </w:rPr>
      </w:pPr>
    </w:p>
    <w:p w14:paraId="35EA7EF6">
      <w:pPr>
        <w:pStyle w:val="173"/>
        <w:spacing w:before="0" w:after="0" w:line="360" w:lineRule="auto"/>
        <w:outlineLvl w:val="0"/>
        <w:rPr>
          <w:rFonts w:ascii="Times New Roman"/>
          <w:color w:val="000000" w:themeColor="text1"/>
          <w:sz w:val="44"/>
          <w:szCs w:val="44"/>
        </w:rPr>
      </w:pPr>
    </w:p>
    <w:p w14:paraId="7E23C167">
      <w:pPr>
        <w:pStyle w:val="173"/>
        <w:spacing w:before="0" w:after="0" w:line="360" w:lineRule="auto"/>
        <w:outlineLvl w:val="0"/>
        <w:rPr>
          <w:rFonts w:ascii="Times New Roman"/>
          <w:color w:val="000000" w:themeColor="text1"/>
          <w:sz w:val="44"/>
          <w:szCs w:val="44"/>
        </w:rPr>
      </w:pPr>
    </w:p>
    <w:p w14:paraId="48ADA782">
      <w:pPr>
        <w:pStyle w:val="173"/>
        <w:spacing w:before="0" w:after="0" w:line="360" w:lineRule="auto"/>
        <w:outlineLvl w:val="0"/>
        <w:rPr>
          <w:rFonts w:ascii="Times New Roman"/>
          <w:color w:val="000000" w:themeColor="text1"/>
          <w:sz w:val="44"/>
          <w:szCs w:val="44"/>
        </w:rPr>
      </w:pPr>
    </w:p>
    <w:p w14:paraId="0FEB2A69">
      <w:pPr>
        <w:pStyle w:val="173"/>
        <w:spacing w:before="0" w:after="0" w:line="360" w:lineRule="auto"/>
        <w:outlineLvl w:val="0"/>
        <w:rPr>
          <w:rFonts w:ascii="Times New Roman"/>
          <w:color w:val="000000" w:themeColor="text1"/>
          <w:sz w:val="44"/>
          <w:szCs w:val="44"/>
        </w:rPr>
      </w:pPr>
    </w:p>
    <w:p w14:paraId="4511A527">
      <w:pPr>
        <w:pStyle w:val="173"/>
        <w:spacing w:before="0" w:after="0" w:line="360" w:lineRule="auto"/>
        <w:outlineLvl w:val="0"/>
        <w:rPr>
          <w:rFonts w:ascii="Times New Roman"/>
          <w:color w:val="000000" w:themeColor="text1"/>
          <w:sz w:val="44"/>
          <w:szCs w:val="44"/>
        </w:rPr>
      </w:pPr>
    </w:p>
    <w:p w14:paraId="0DF28D4B">
      <w:pPr>
        <w:pStyle w:val="173"/>
        <w:spacing w:before="0" w:after="0" w:line="360" w:lineRule="auto"/>
        <w:outlineLvl w:val="0"/>
        <w:rPr>
          <w:rFonts w:ascii="Times New Roman"/>
          <w:color w:val="000000" w:themeColor="text1"/>
          <w:sz w:val="44"/>
          <w:szCs w:val="44"/>
        </w:rPr>
      </w:pPr>
    </w:p>
    <w:p w14:paraId="5B3937E2">
      <w:pPr>
        <w:pStyle w:val="173"/>
        <w:spacing w:before="0" w:after="0" w:line="360" w:lineRule="auto"/>
        <w:jc w:val="both"/>
        <w:outlineLvl w:val="0"/>
        <w:rPr>
          <w:rFonts w:ascii="Times New Roman"/>
          <w:color w:val="000000" w:themeColor="text1"/>
          <w:sz w:val="44"/>
          <w:szCs w:val="44"/>
        </w:rPr>
      </w:pPr>
    </w:p>
    <w:p w14:paraId="2C044F44">
      <w:pPr>
        <w:pStyle w:val="173"/>
        <w:spacing w:before="0" w:after="0" w:line="360" w:lineRule="auto"/>
        <w:outlineLvl w:val="0"/>
        <w:rPr>
          <w:rFonts w:ascii="Times New Roman"/>
          <w:color w:val="000000" w:themeColor="text1"/>
          <w:szCs w:val="28"/>
        </w:rPr>
      </w:pPr>
      <w:r>
        <w:rPr>
          <w:rFonts w:hint="eastAsia" w:ascii="Times New Roman"/>
          <w:color w:val="000000" w:themeColor="text1"/>
          <w:szCs w:val="28"/>
        </w:rPr>
        <w:t>第三章</w:t>
      </w:r>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r>
        <w:rPr>
          <w:rFonts w:hint="eastAsia" w:ascii="Times New Roman"/>
          <w:color w:val="000000" w:themeColor="text1"/>
          <w:szCs w:val="28"/>
        </w:rPr>
        <w:t>项目情况介绍</w:t>
      </w:r>
      <w:bookmarkEnd w:id="1044"/>
      <w:bookmarkEnd w:id="1045"/>
      <w:bookmarkEnd w:id="1046"/>
      <w:bookmarkEnd w:id="1047"/>
      <w:bookmarkEnd w:id="1048"/>
      <w:bookmarkEnd w:id="1049"/>
      <w:bookmarkEnd w:id="1050"/>
      <w:bookmarkEnd w:id="1051"/>
    </w:p>
    <w:p w14:paraId="3C57B879">
      <w:pPr>
        <w:pStyle w:val="176"/>
        <w:numPr>
          <w:ilvl w:val="0"/>
          <w:numId w:val="15"/>
        </w:numPr>
        <w:spacing w:line="500" w:lineRule="exact"/>
        <w:ind w:firstLineChars="0"/>
        <w:rPr>
          <w:rFonts w:ascii="黑体" w:hAnsi="黑体" w:eastAsia="黑体"/>
          <w:color w:val="000000" w:themeColor="text1"/>
          <w:kern w:val="0"/>
          <w:sz w:val="24"/>
          <w:szCs w:val="24"/>
        </w:rPr>
      </w:pPr>
      <w:r>
        <w:rPr>
          <w:rFonts w:hint="eastAsia" w:ascii="黑体" w:hAnsi="黑体" w:eastAsia="黑体"/>
          <w:color w:val="000000" w:themeColor="text1"/>
          <w:kern w:val="0"/>
          <w:sz w:val="24"/>
          <w:szCs w:val="24"/>
        </w:rPr>
        <w:t>项目概况</w:t>
      </w:r>
    </w:p>
    <w:p w14:paraId="2AEF9779">
      <w:pPr>
        <w:pStyle w:val="176"/>
        <w:spacing w:line="500" w:lineRule="exact"/>
        <w:ind w:left="360" w:firstLine="0" w:firstLineChars="0"/>
        <w:rPr>
          <w:rFonts w:ascii="Times New Roman" w:hAnsi="Times New Roman"/>
          <w:bCs/>
          <w:color w:val="000000" w:themeColor="text1"/>
          <w:kern w:val="0"/>
          <w:sz w:val="24"/>
          <w:szCs w:val="20"/>
        </w:rPr>
      </w:pPr>
      <w:r>
        <w:rPr>
          <w:rFonts w:hint="eastAsia" w:ascii="Times New Roman" w:hAnsi="Times New Roman"/>
          <w:bCs/>
          <w:color w:val="000000" w:themeColor="text1"/>
          <w:kern w:val="0"/>
          <w:sz w:val="24"/>
          <w:szCs w:val="20"/>
        </w:rPr>
        <w:t>本次招商项目涉及</w:t>
      </w:r>
      <w:r>
        <w:rPr>
          <w:rFonts w:hint="eastAsia" w:ascii="Times New Roman" w:hAnsi="Times New Roman"/>
          <w:bCs/>
          <w:color w:val="000000" w:themeColor="text1"/>
          <w:kern w:val="0"/>
          <w:sz w:val="24"/>
          <w:szCs w:val="20"/>
          <w:lang w:val="en-US" w:eastAsia="zh-CN"/>
        </w:rPr>
        <w:t>1</w:t>
      </w:r>
      <w:r>
        <w:rPr>
          <w:rFonts w:hint="eastAsia" w:ascii="Times New Roman" w:hAnsi="Times New Roman"/>
          <w:bCs/>
          <w:color w:val="000000" w:themeColor="text1"/>
          <w:kern w:val="0"/>
          <w:sz w:val="24"/>
          <w:szCs w:val="20"/>
        </w:rPr>
        <w:t>个客站，</w:t>
      </w:r>
      <w:r>
        <w:rPr>
          <w:rFonts w:hint="eastAsia" w:ascii="Times New Roman" w:hAnsi="Times New Roman"/>
          <w:bCs/>
          <w:color w:val="000000" w:themeColor="text1"/>
          <w:kern w:val="0"/>
          <w:sz w:val="24"/>
          <w:szCs w:val="20"/>
          <w:lang w:val="en-US" w:eastAsia="zh-CN"/>
        </w:rPr>
        <w:t>2</w:t>
      </w:r>
      <w:r>
        <w:rPr>
          <w:rFonts w:hint="eastAsia" w:ascii="Times New Roman" w:hAnsi="Times New Roman"/>
          <w:bCs/>
          <w:color w:val="000000" w:themeColor="text1"/>
          <w:kern w:val="0"/>
          <w:sz w:val="24"/>
          <w:szCs w:val="20"/>
        </w:rPr>
        <w:t>个</w:t>
      </w:r>
      <w:r>
        <w:rPr>
          <w:rFonts w:hint="eastAsia" w:ascii="Times New Roman" w:hAnsi="Times New Roman"/>
          <w:bCs/>
          <w:color w:val="000000" w:themeColor="text1"/>
          <w:kern w:val="0"/>
          <w:sz w:val="24"/>
          <w:szCs w:val="20"/>
          <w:lang w:eastAsia="zh-CN"/>
        </w:rPr>
        <w:t>商业</w:t>
      </w:r>
      <w:r>
        <w:rPr>
          <w:rFonts w:hint="eastAsia" w:ascii="Times New Roman" w:hAnsi="Times New Roman"/>
          <w:bCs/>
          <w:color w:val="000000" w:themeColor="text1"/>
          <w:kern w:val="0"/>
          <w:sz w:val="24"/>
          <w:szCs w:val="20"/>
          <w:lang w:val="en-US" w:eastAsia="zh-CN"/>
        </w:rPr>
        <w:t>VIP厅，</w:t>
      </w:r>
      <w:r>
        <w:rPr>
          <w:rFonts w:hint="eastAsia" w:ascii="Times New Roman" w:hAnsi="Times New Roman"/>
          <w:bCs/>
          <w:color w:val="000000" w:themeColor="text1"/>
          <w:kern w:val="0"/>
          <w:sz w:val="24"/>
          <w:szCs w:val="20"/>
        </w:rPr>
        <w:t>面积</w:t>
      </w:r>
      <w:r>
        <w:rPr>
          <w:rFonts w:hint="eastAsia" w:ascii="Times New Roman" w:hAnsi="Times New Roman"/>
          <w:bCs/>
          <w:color w:val="000000" w:themeColor="text1"/>
          <w:kern w:val="0"/>
          <w:sz w:val="24"/>
          <w:szCs w:val="20"/>
          <w:lang w:val="en-US" w:eastAsia="zh-CN"/>
        </w:rPr>
        <w:t>215.79</w:t>
      </w:r>
      <w:r>
        <w:rPr>
          <w:rFonts w:hint="eastAsia" w:ascii="Times New Roman" w:hAnsi="Times New Roman"/>
          <w:bCs/>
          <w:color w:val="000000" w:themeColor="text1"/>
          <w:kern w:val="0"/>
          <w:sz w:val="24"/>
          <w:szCs w:val="20"/>
        </w:rPr>
        <w:t>平米</w:t>
      </w:r>
      <w:r>
        <w:rPr>
          <w:rFonts w:hint="eastAsia" w:ascii="Times New Roman" w:hAnsi="Times New Roman"/>
          <w:bCs/>
          <w:color w:val="000000" w:themeColor="text1"/>
          <w:kern w:val="0"/>
          <w:sz w:val="24"/>
          <w:szCs w:val="20"/>
          <w:lang w:val="en-US" w:eastAsia="zh-CN"/>
        </w:rPr>
        <w:t>(以实际测量为准）</w:t>
      </w:r>
      <w:r>
        <w:rPr>
          <w:rFonts w:hint="eastAsia" w:ascii="Times New Roman" w:hAnsi="Times New Roman"/>
          <w:bCs/>
          <w:color w:val="000000" w:themeColor="text1"/>
          <w:kern w:val="0"/>
          <w:sz w:val="24"/>
          <w:szCs w:val="20"/>
        </w:rPr>
        <w:t>。</w:t>
      </w:r>
    </w:p>
    <w:p w14:paraId="71ABCEA5">
      <w:pPr>
        <w:pStyle w:val="176"/>
        <w:numPr>
          <w:ilvl w:val="0"/>
          <w:numId w:val="15"/>
        </w:numPr>
        <w:spacing w:line="500" w:lineRule="exact"/>
        <w:ind w:firstLineChars="0"/>
        <w:rPr>
          <w:rFonts w:ascii="黑体" w:hAnsi="黑体" w:eastAsia="黑体"/>
          <w:bCs/>
          <w:color w:val="000000" w:themeColor="text1"/>
          <w:kern w:val="0"/>
          <w:sz w:val="24"/>
          <w:szCs w:val="20"/>
        </w:rPr>
      </w:pPr>
      <w:r>
        <w:rPr>
          <w:rFonts w:hint="eastAsia" w:ascii="黑体" w:hAnsi="黑体" w:eastAsia="黑体"/>
          <w:bCs/>
          <w:color w:val="000000" w:themeColor="text1"/>
          <w:kern w:val="0"/>
          <w:sz w:val="24"/>
          <w:szCs w:val="20"/>
        </w:rPr>
        <w:t>招商项目</w:t>
      </w:r>
    </w:p>
    <w:p w14:paraId="07B4BEF0">
      <w:pPr>
        <w:pStyle w:val="63"/>
        <w:ind w:firstLine="420"/>
      </w:pPr>
    </w:p>
    <w:tbl>
      <w:tblPr>
        <w:tblStyle w:val="52"/>
        <w:tblW w:w="71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150"/>
        <w:gridCol w:w="1457"/>
        <w:gridCol w:w="1134"/>
        <w:gridCol w:w="851"/>
        <w:gridCol w:w="1739"/>
      </w:tblGrid>
      <w:tr w14:paraId="5104A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jc w:val="center"/>
        </w:trPr>
        <w:tc>
          <w:tcPr>
            <w:tcW w:w="851" w:type="dxa"/>
            <w:noWrap w:val="0"/>
            <w:vAlign w:val="center"/>
          </w:tcPr>
          <w:p w14:paraId="54DD68D0">
            <w:pPr>
              <w:spacing w:before="240" w:line="240" w:lineRule="exact"/>
              <w:jc w:val="center"/>
              <w:rPr>
                <w:rFonts w:ascii="仿宋" w:hAnsi="仿宋" w:eastAsia="仿宋" w:cs="宋体"/>
                <w:b/>
                <w:bCs/>
                <w:color w:val="000000"/>
                <w:sz w:val="22"/>
                <w:szCs w:val="22"/>
              </w:rPr>
            </w:pPr>
            <w:bookmarkStart w:id="1052" w:name="_Hlk182474097"/>
            <w:r>
              <w:rPr>
                <w:rFonts w:hint="eastAsia" w:ascii="仿宋" w:hAnsi="仿宋" w:eastAsia="仿宋" w:cs="宋体"/>
                <w:b/>
                <w:bCs/>
                <w:color w:val="000000"/>
                <w:sz w:val="22"/>
                <w:szCs w:val="22"/>
              </w:rPr>
              <w:t>包件</w:t>
            </w:r>
          </w:p>
        </w:tc>
        <w:tc>
          <w:tcPr>
            <w:tcW w:w="1150" w:type="dxa"/>
            <w:noWrap w:val="0"/>
            <w:vAlign w:val="center"/>
          </w:tcPr>
          <w:p w14:paraId="6913E6FF">
            <w:pPr>
              <w:spacing w:before="240" w:line="240" w:lineRule="exact"/>
              <w:jc w:val="center"/>
              <w:rPr>
                <w:rFonts w:ascii="仿宋" w:hAnsi="仿宋" w:eastAsia="仿宋" w:cs="宋体"/>
                <w:b/>
                <w:bCs/>
                <w:color w:val="000000"/>
                <w:sz w:val="22"/>
                <w:szCs w:val="22"/>
              </w:rPr>
            </w:pPr>
            <w:r>
              <w:rPr>
                <w:rFonts w:hint="eastAsia" w:ascii="仿宋" w:hAnsi="仿宋" w:eastAsia="仿宋" w:cs="宋体"/>
                <w:b/>
                <w:bCs/>
                <w:color w:val="000000"/>
                <w:sz w:val="22"/>
                <w:szCs w:val="22"/>
              </w:rPr>
              <w:t>所属站</w:t>
            </w:r>
          </w:p>
        </w:tc>
        <w:tc>
          <w:tcPr>
            <w:tcW w:w="1457" w:type="dxa"/>
            <w:noWrap w:val="0"/>
            <w:vAlign w:val="center"/>
          </w:tcPr>
          <w:p w14:paraId="51F0D925">
            <w:pPr>
              <w:spacing w:before="240" w:line="240" w:lineRule="exact"/>
              <w:jc w:val="center"/>
              <w:rPr>
                <w:rFonts w:ascii="仿宋" w:hAnsi="仿宋" w:eastAsia="仿宋" w:cs="宋体"/>
                <w:b/>
                <w:bCs/>
                <w:color w:val="000000"/>
                <w:sz w:val="22"/>
                <w:szCs w:val="22"/>
              </w:rPr>
            </w:pPr>
            <w:r>
              <w:rPr>
                <w:rFonts w:hint="eastAsia" w:ascii="仿宋" w:hAnsi="仿宋" w:eastAsia="仿宋" w:cs="宋体"/>
                <w:b/>
                <w:bCs/>
                <w:color w:val="000000"/>
                <w:sz w:val="22"/>
                <w:szCs w:val="22"/>
              </w:rPr>
              <w:t>招商点位        （场地编号）</w:t>
            </w:r>
          </w:p>
        </w:tc>
        <w:tc>
          <w:tcPr>
            <w:tcW w:w="1134" w:type="dxa"/>
            <w:noWrap w:val="0"/>
            <w:vAlign w:val="center"/>
          </w:tcPr>
          <w:p w14:paraId="02553B7F">
            <w:pPr>
              <w:spacing w:before="240" w:line="240" w:lineRule="exact"/>
              <w:jc w:val="center"/>
              <w:rPr>
                <w:rFonts w:ascii="仿宋" w:hAnsi="仿宋" w:eastAsia="仿宋" w:cs="宋体"/>
                <w:b/>
                <w:bCs/>
                <w:color w:val="000000"/>
                <w:sz w:val="22"/>
                <w:szCs w:val="22"/>
              </w:rPr>
            </w:pPr>
            <w:r>
              <w:rPr>
                <w:rFonts w:hint="eastAsia" w:ascii="仿宋" w:hAnsi="仿宋" w:eastAsia="仿宋" w:cs="宋体"/>
                <w:b/>
                <w:bCs/>
                <w:color w:val="000000"/>
                <w:sz w:val="22"/>
                <w:szCs w:val="22"/>
              </w:rPr>
              <w:t>经营业态</w:t>
            </w:r>
          </w:p>
        </w:tc>
        <w:tc>
          <w:tcPr>
            <w:tcW w:w="851" w:type="dxa"/>
            <w:noWrap w:val="0"/>
            <w:vAlign w:val="center"/>
          </w:tcPr>
          <w:p w14:paraId="03BD22C2">
            <w:pPr>
              <w:spacing w:before="240" w:line="240" w:lineRule="exact"/>
              <w:jc w:val="center"/>
              <w:rPr>
                <w:rFonts w:ascii="仿宋" w:hAnsi="仿宋" w:eastAsia="仿宋" w:cs="宋体"/>
                <w:b/>
                <w:bCs/>
                <w:color w:val="000000"/>
                <w:sz w:val="22"/>
                <w:szCs w:val="22"/>
              </w:rPr>
            </w:pPr>
            <w:r>
              <w:rPr>
                <w:rFonts w:hint="eastAsia" w:ascii="仿宋" w:hAnsi="仿宋" w:eastAsia="仿宋" w:cs="宋体"/>
                <w:b/>
                <w:bCs/>
                <w:color w:val="000000"/>
                <w:sz w:val="22"/>
                <w:szCs w:val="22"/>
              </w:rPr>
              <w:t>面积</w:t>
            </w:r>
          </w:p>
        </w:tc>
        <w:tc>
          <w:tcPr>
            <w:tcW w:w="1739" w:type="dxa"/>
            <w:noWrap w:val="0"/>
            <w:vAlign w:val="center"/>
          </w:tcPr>
          <w:p w14:paraId="2BB2040E">
            <w:pPr>
              <w:spacing w:before="240" w:line="240" w:lineRule="exact"/>
              <w:jc w:val="center"/>
              <w:rPr>
                <w:rFonts w:ascii="仿宋" w:hAnsi="仿宋" w:eastAsia="仿宋" w:cs="宋体"/>
                <w:b/>
                <w:bCs/>
                <w:color w:val="000000"/>
                <w:sz w:val="22"/>
                <w:szCs w:val="22"/>
              </w:rPr>
            </w:pPr>
            <w:r>
              <w:rPr>
                <w:rFonts w:hint="eastAsia" w:ascii="仿宋" w:hAnsi="仿宋" w:eastAsia="仿宋" w:cs="宋体"/>
                <w:b/>
                <w:bCs/>
                <w:color w:val="000000"/>
                <w:sz w:val="22"/>
                <w:szCs w:val="22"/>
              </w:rPr>
              <w:t>合同到期时间</w:t>
            </w:r>
          </w:p>
        </w:tc>
      </w:tr>
      <w:tr w14:paraId="61299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851" w:type="dxa"/>
            <w:noWrap w:val="0"/>
            <w:vAlign w:val="center"/>
          </w:tcPr>
          <w:p w14:paraId="2D748937">
            <w:pPr>
              <w:jc w:val="center"/>
              <w:rPr>
                <w:rFonts w:ascii="仿宋" w:hAnsi="仿宋" w:eastAsia="仿宋" w:cs="宋体"/>
                <w:color w:val="000000"/>
                <w:sz w:val="18"/>
                <w:szCs w:val="18"/>
              </w:rPr>
            </w:pPr>
            <w:bookmarkStart w:id="1053" w:name="_Hlk182405921"/>
            <w:bookmarkStart w:id="1054" w:name="_Hlk183787115"/>
            <w:r>
              <w:rPr>
                <w:rFonts w:hint="eastAsia" w:ascii="仿宋" w:hAnsi="仿宋" w:eastAsia="仿宋" w:cs="宋体"/>
                <w:color w:val="000000"/>
                <w:sz w:val="18"/>
                <w:szCs w:val="18"/>
              </w:rPr>
              <w:t>1</w:t>
            </w:r>
          </w:p>
        </w:tc>
        <w:tc>
          <w:tcPr>
            <w:tcW w:w="1150" w:type="dxa"/>
            <w:noWrap/>
            <w:vAlign w:val="center"/>
          </w:tcPr>
          <w:p w14:paraId="7714C54C">
            <w:pPr>
              <w:jc w:val="center"/>
              <w:rPr>
                <w:rFonts w:hint="eastAsia" w:ascii="仿宋" w:hAnsi="仿宋" w:eastAsia="仿宋" w:cs="宋体"/>
                <w:color w:val="000000"/>
                <w:sz w:val="18"/>
                <w:szCs w:val="18"/>
                <w:lang w:eastAsia="zh-CN"/>
              </w:rPr>
            </w:pPr>
            <w:r>
              <w:rPr>
                <w:rFonts w:hint="eastAsia" w:hAnsi="仿宋_GB2312" w:cs="仿宋_GB2312"/>
                <w:color w:val="000000"/>
                <w:sz w:val="18"/>
                <w:szCs w:val="18"/>
                <w:lang w:eastAsia="zh-CN"/>
              </w:rPr>
              <w:t>合肥南</w:t>
            </w:r>
            <w:r>
              <w:rPr>
                <w:rFonts w:hint="eastAsia" w:ascii="仿宋_GB2312" w:hAnsi="仿宋_GB2312" w:eastAsia="仿宋_GB2312" w:cs="仿宋_GB2312"/>
                <w:color w:val="000000"/>
                <w:sz w:val="18"/>
                <w:szCs w:val="18"/>
              </w:rPr>
              <w:t>站</w:t>
            </w:r>
          </w:p>
        </w:tc>
        <w:tc>
          <w:tcPr>
            <w:tcW w:w="1457" w:type="dxa"/>
            <w:noWrap/>
            <w:vAlign w:val="center"/>
          </w:tcPr>
          <w:p w14:paraId="6FFC486C">
            <w:pPr>
              <w:widowControl/>
              <w:jc w:val="center"/>
              <w:textAlignment w:val="auto"/>
              <w:rPr>
                <w:rFonts w:hint="eastAsia" w:ascii="仿宋" w:hAnsi="仿宋" w:eastAsia="仿宋" w:cs="宋体"/>
                <w:color w:val="000000"/>
                <w:sz w:val="18"/>
                <w:szCs w:val="18"/>
              </w:rPr>
            </w:pPr>
            <w:r>
              <w:rPr>
                <w:rFonts w:hint="eastAsia" w:ascii="仿宋_GB2312" w:hAnsi="仿宋_GB2312" w:eastAsia="仿宋_GB2312" w:cs="仿宋_GB2312"/>
                <w:i w:val="0"/>
                <w:iCs w:val="0"/>
                <w:color w:val="000000"/>
                <w:kern w:val="2"/>
                <w:sz w:val="18"/>
                <w:szCs w:val="18"/>
                <w:u w:val="none"/>
                <w:lang w:val="en-US" w:eastAsia="zh-CN" w:bidi="ar"/>
              </w:rPr>
              <w:t>HFN-2F-VIP-01</w:t>
            </w:r>
          </w:p>
        </w:tc>
        <w:tc>
          <w:tcPr>
            <w:tcW w:w="1134" w:type="dxa"/>
            <w:noWrap/>
            <w:vAlign w:val="center"/>
          </w:tcPr>
          <w:p w14:paraId="72DF7E01">
            <w:pPr>
              <w:jc w:val="center"/>
              <w:rPr>
                <w:rFonts w:hint="eastAsia" w:ascii="仿宋" w:hAnsi="仿宋" w:eastAsia="仿宋" w:cs="宋体"/>
                <w:color w:val="000000"/>
                <w:sz w:val="18"/>
                <w:szCs w:val="18"/>
                <w:lang w:eastAsia="zh-CN"/>
              </w:rPr>
            </w:pPr>
            <w:r>
              <w:rPr>
                <w:rFonts w:hint="eastAsia" w:ascii="仿宋_GB2312" w:hAnsi="仿宋_GB2312" w:eastAsia="仿宋_GB2312" w:cs="仿宋_GB2312"/>
                <w:color w:val="000000"/>
                <w:sz w:val="18"/>
                <w:szCs w:val="18"/>
              </w:rPr>
              <w:t>商业VIP厅</w:t>
            </w:r>
          </w:p>
        </w:tc>
        <w:tc>
          <w:tcPr>
            <w:tcW w:w="851" w:type="dxa"/>
            <w:noWrap w:val="0"/>
            <w:vAlign w:val="center"/>
          </w:tcPr>
          <w:p w14:paraId="0BCCEED6">
            <w:pPr>
              <w:jc w:val="center"/>
              <w:rPr>
                <w:rFonts w:hint="default" w:ascii="仿宋" w:hAnsi="仿宋" w:eastAsia="仿宋" w:cs="宋体"/>
                <w:color w:val="000000"/>
                <w:sz w:val="18"/>
                <w:szCs w:val="18"/>
                <w:lang w:val="en-US" w:eastAsia="zh-CN"/>
              </w:rPr>
            </w:pPr>
            <w:r>
              <w:rPr>
                <w:rFonts w:hint="eastAsia" w:hAnsi="仿宋_GB2312" w:cs="仿宋_GB2312"/>
                <w:color w:val="000000"/>
                <w:sz w:val="18"/>
                <w:szCs w:val="18"/>
                <w:lang w:val="en-US" w:eastAsia="zh-CN"/>
              </w:rPr>
              <w:t>117.96</w:t>
            </w:r>
          </w:p>
        </w:tc>
        <w:tc>
          <w:tcPr>
            <w:tcW w:w="1739" w:type="dxa"/>
            <w:noWrap/>
            <w:vAlign w:val="center"/>
          </w:tcPr>
          <w:p w14:paraId="4A8D89D2">
            <w:pPr>
              <w:widowControl/>
              <w:jc w:val="center"/>
              <w:rPr>
                <w:rFonts w:hint="eastAsia" w:ascii="仿宋" w:hAnsi="仿宋" w:eastAsia="仿宋" w:cs="宋体"/>
                <w:color w:val="000000"/>
                <w:sz w:val="18"/>
                <w:szCs w:val="18"/>
              </w:rPr>
            </w:pPr>
            <w:r>
              <w:rPr>
                <w:rFonts w:hint="eastAsia" w:hAnsi="仿宋_GB2312" w:cs="仿宋_GB2312"/>
                <w:color w:val="000000"/>
                <w:sz w:val="18"/>
                <w:szCs w:val="18"/>
                <w:lang w:val="en-US" w:eastAsia="zh-CN" w:bidi="ar"/>
              </w:rPr>
              <w:t>2025.10.31</w:t>
            </w:r>
          </w:p>
        </w:tc>
      </w:tr>
      <w:tr w14:paraId="3FC55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851" w:type="dxa"/>
            <w:noWrap w:val="0"/>
            <w:vAlign w:val="center"/>
          </w:tcPr>
          <w:p w14:paraId="2C43DEB6">
            <w:pPr>
              <w:jc w:val="center"/>
              <w:rPr>
                <w:rFonts w:hint="eastAsia" w:ascii="仿宋" w:hAnsi="仿宋" w:eastAsia="仿宋" w:cs="宋体"/>
                <w:color w:val="000000"/>
                <w:sz w:val="18"/>
                <w:szCs w:val="18"/>
                <w:lang w:val="en-US" w:eastAsia="zh-CN"/>
              </w:rPr>
            </w:pPr>
            <w:r>
              <w:rPr>
                <w:rFonts w:hint="eastAsia" w:ascii="仿宋" w:hAnsi="仿宋" w:eastAsia="仿宋" w:cs="宋体"/>
                <w:color w:val="000000"/>
                <w:sz w:val="18"/>
                <w:szCs w:val="18"/>
                <w:lang w:val="en-US" w:eastAsia="zh-CN"/>
              </w:rPr>
              <w:t>2</w:t>
            </w:r>
          </w:p>
        </w:tc>
        <w:tc>
          <w:tcPr>
            <w:tcW w:w="1150" w:type="dxa"/>
            <w:noWrap/>
            <w:vAlign w:val="center"/>
          </w:tcPr>
          <w:p w14:paraId="0387E3CE">
            <w:pPr>
              <w:jc w:val="center"/>
              <w:rPr>
                <w:rFonts w:hint="eastAsia" w:ascii="仿宋" w:hAnsi="仿宋" w:eastAsia="仿宋" w:cs="宋体"/>
                <w:color w:val="000000"/>
                <w:sz w:val="18"/>
                <w:szCs w:val="18"/>
                <w:lang w:eastAsia="zh-CN"/>
              </w:rPr>
            </w:pPr>
            <w:r>
              <w:rPr>
                <w:rFonts w:hint="eastAsia" w:hAnsi="仿宋_GB2312" w:cs="仿宋_GB2312"/>
                <w:color w:val="000000"/>
                <w:sz w:val="18"/>
                <w:szCs w:val="18"/>
                <w:lang w:eastAsia="zh-CN"/>
              </w:rPr>
              <w:t>合肥南</w:t>
            </w:r>
            <w:r>
              <w:rPr>
                <w:rFonts w:hint="eastAsia" w:ascii="仿宋_GB2312" w:hAnsi="仿宋_GB2312" w:eastAsia="仿宋_GB2312" w:cs="仿宋_GB2312"/>
                <w:color w:val="000000"/>
                <w:sz w:val="18"/>
                <w:szCs w:val="18"/>
              </w:rPr>
              <w:t>站</w:t>
            </w:r>
          </w:p>
        </w:tc>
        <w:tc>
          <w:tcPr>
            <w:tcW w:w="1457" w:type="dxa"/>
            <w:noWrap/>
            <w:vAlign w:val="center"/>
          </w:tcPr>
          <w:p w14:paraId="27B8ACC3">
            <w:pPr>
              <w:widowControl/>
              <w:jc w:val="center"/>
              <w:textAlignment w:val="auto"/>
              <w:rPr>
                <w:rFonts w:hint="eastAsia" w:ascii="仿宋" w:hAnsi="仿宋" w:eastAsia="仿宋" w:cs="宋体"/>
                <w:color w:val="000000"/>
                <w:sz w:val="18"/>
                <w:szCs w:val="18"/>
              </w:rPr>
            </w:pPr>
            <w:r>
              <w:rPr>
                <w:rFonts w:hint="eastAsia" w:ascii="仿宋_GB2312" w:hAnsi="仿宋_GB2312" w:eastAsia="仿宋_GB2312" w:cs="仿宋_GB2312"/>
                <w:i w:val="0"/>
                <w:iCs w:val="0"/>
                <w:color w:val="000000"/>
                <w:kern w:val="2"/>
                <w:sz w:val="18"/>
                <w:szCs w:val="18"/>
                <w:u w:val="none"/>
                <w:lang w:val="en-US" w:eastAsia="zh-CN" w:bidi="ar"/>
              </w:rPr>
              <w:t>HFN-2F-VIP-03</w:t>
            </w:r>
          </w:p>
        </w:tc>
        <w:tc>
          <w:tcPr>
            <w:tcW w:w="1134" w:type="dxa"/>
            <w:noWrap/>
            <w:vAlign w:val="center"/>
          </w:tcPr>
          <w:p w14:paraId="6B6FFC0C">
            <w:pPr>
              <w:jc w:val="center"/>
              <w:rPr>
                <w:rFonts w:hint="eastAsia" w:ascii="仿宋" w:hAnsi="仿宋" w:eastAsia="仿宋" w:cs="宋体"/>
                <w:color w:val="000000"/>
                <w:sz w:val="18"/>
                <w:szCs w:val="18"/>
                <w:lang w:eastAsia="zh-CN"/>
              </w:rPr>
            </w:pPr>
            <w:r>
              <w:rPr>
                <w:rFonts w:hint="eastAsia" w:ascii="仿宋_GB2312" w:hAnsi="仿宋_GB2312" w:eastAsia="仿宋_GB2312" w:cs="仿宋_GB2312"/>
                <w:color w:val="000000"/>
                <w:sz w:val="18"/>
                <w:szCs w:val="18"/>
              </w:rPr>
              <w:t>商业VIP厅</w:t>
            </w:r>
          </w:p>
        </w:tc>
        <w:tc>
          <w:tcPr>
            <w:tcW w:w="851" w:type="dxa"/>
            <w:noWrap w:val="0"/>
            <w:vAlign w:val="center"/>
          </w:tcPr>
          <w:p w14:paraId="19EB6057">
            <w:pPr>
              <w:jc w:val="center"/>
              <w:rPr>
                <w:rFonts w:hint="eastAsia" w:ascii="仿宋" w:hAnsi="仿宋" w:eastAsia="仿宋" w:cs="宋体"/>
                <w:color w:val="000000"/>
                <w:sz w:val="18"/>
                <w:szCs w:val="18"/>
                <w:lang w:val="en-US" w:eastAsia="zh-CN"/>
              </w:rPr>
            </w:pPr>
            <w:r>
              <w:rPr>
                <w:rFonts w:hint="eastAsia" w:hAnsi="仿宋_GB2312" w:cs="仿宋_GB2312"/>
                <w:color w:val="000000"/>
                <w:sz w:val="18"/>
                <w:szCs w:val="18"/>
                <w:lang w:val="en-US" w:eastAsia="zh-CN"/>
              </w:rPr>
              <w:t>97.83</w:t>
            </w:r>
          </w:p>
        </w:tc>
        <w:tc>
          <w:tcPr>
            <w:tcW w:w="1739" w:type="dxa"/>
            <w:noWrap/>
            <w:vAlign w:val="center"/>
          </w:tcPr>
          <w:p w14:paraId="577D38B2">
            <w:pPr>
              <w:widowControl/>
              <w:jc w:val="center"/>
              <w:rPr>
                <w:rFonts w:hint="default" w:ascii="仿宋" w:hAnsi="仿宋" w:eastAsia="仿宋" w:cs="宋体"/>
                <w:color w:val="000000"/>
                <w:sz w:val="18"/>
                <w:szCs w:val="18"/>
                <w:lang w:val="en-US"/>
              </w:rPr>
            </w:pPr>
            <w:r>
              <w:rPr>
                <w:rFonts w:hint="eastAsia" w:hAnsi="仿宋_GB2312" w:cs="仿宋_GB2312"/>
                <w:color w:val="000000"/>
                <w:sz w:val="18"/>
                <w:szCs w:val="18"/>
                <w:lang w:val="en-US" w:eastAsia="zh-CN" w:bidi="ar"/>
              </w:rPr>
              <w:t>2025.11.30</w:t>
            </w:r>
          </w:p>
        </w:tc>
      </w:tr>
      <w:bookmarkEnd w:id="1052"/>
      <w:bookmarkEnd w:id="1053"/>
      <w:bookmarkEnd w:id="1054"/>
    </w:tbl>
    <w:p w14:paraId="0636AC69">
      <w:pPr>
        <w:rPr>
          <w:color w:val="000000" w:themeColor="text1"/>
        </w:rPr>
      </w:pPr>
    </w:p>
    <w:p w14:paraId="6B5F9B9A">
      <w:pPr>
        <w:spacing w:line="560" w:lineRule="exact"/>
        <w:rPr>
          <w:bCs/>
          <w:color w:val="000000" w:themeColor="text1"/>
          <w:szCs w:val="20"/>
        </w:rPr>
      </w:pPr>
      <w:r>
        <w:rPr>
          <w:rFonts w:hint="eastAsia"/>
          <w:bCs/>
          <w:color w:val="000000" w:themeColor="text1"/>
          <w:szCs w:val="20"/>
        </w:rPr>
        <w:t>3.</w:t>
      </w:r>
      <w:r>
        <w:rPr>
          <w:rFonts w:hint="eastAsia" w:ascii="黑体" w:hAnsi="黑体" w:eastAsia="黑体"/>
          <w:bCs/>
          <w:color w:val="000000" w:themeColor="text1"/>
          <w:szCs w:val="20"/>
        </w:rPr>
        <w:t>经营业态</w:t>
      </w:r>
      <w:r>
        <w:rPr>
          <w:rFonts w:hint="eastAsia"/>
          <w:bCs/>
          <w:color w:val="000000" w:themeColor="text1"/>
          <w:szCs w:val="20"/>
        </w:rPr>
        <w:t>：</w:t>
      </w:r>
    </w:p>
    <w:p w14:paraId="6468DC6D">
      <w:pPr>
        <w:pStyle w:val="49"/>
        <w:spacing w:before="0" w:after="0"/>
        <w:ind w:firstLine="482"/>
        <w:jc w:val="left"/>
        <w:rPr>
          <w:rFonts w:hint="eastAsia" w:ascii="Times New Roman" w:hAnsi="Times New Roman" w:cs="Times New Roman"/>
          <w:b w:val="0"/>
          <w:color w:val="000000" w:themeColor="text1"/>
          <w:sz w:val="24"/>
          <w:szCs w:val="20"/>
        </w:rPr>
      </w:pPr>
      <w:r>
        <w:rPr>
          <w:rFonts w:hint="eastAsia" w:ascii="Times New Roman" w:hAnsi="Times New Roman" w:cs="Times New Roman"/>
          <w:b w:val="0"/>
          <w:color w:val="000000" w:themeColor="text1"/>
          <w:sz w:val="24"/>
          <w:szCs w:val="20"/>
        </w:rPr>
        <w:t>商业VIP厅：业态范围包括冠名宣传服务、商旅出行服务、贵宾接待服务、实体（商品、形象）展示、会员推广等，经营活动仅限于商业VIP厅内</w:t>
      </w:r>
      <w:r>
        <w:rPr>
          <w:rFonts w:hint="eastAsia" w:ascii="Times New Roman" w:hAnsi="Times New Roman" w:cs="Times New Roman"/>
          <w:b w:val="0"/>
          <w:color w:val="000000" w:themeColor="text1"/>
          <w:sz w:val="24"/>
          <w:szCs w:val="20"/>
          <w:lang w:eastAsia="zh-CN"/>
        </w:rPr>
        <w:t>，</w:t>
      </w:r>
      <w:r>
        <w:rPr>
          <w:rFonts w:hint="eastAsia" w:ascii="Times New Roman" w:hAnsi="Times New Roman" w:cs="Times New Roman"/>
          <w:b w:val="0"/>
          <w:color w:val="000000" w:themeColor="text1"/>
          <w:sz w:val="24"/>
          <w:szCs w:val="20"/>
        </w:rPr>
        <w:t>可销售展示上铁文旅传媒集团指定文创产品。</w:t>
      </w:r>
    </w:p>
    <w:p w14:paraId="6053DFF8">
      <w:pPr>
        <w:rPr>
          <w:rFonts w:hint="eastAsia"/>
        </w:rPr>
      </w:pPr>
    </w:p>
    <w:p w14:paraId="2D101D65">
      <w:pPr>
        <w:pStyle w:val="49"/>
        <w:spacing w:before="0" w:after="0"/>
        <w:jc w:val="left"/>
        <w:rPr>
          <w:rFonts w:ascii="Times New Roman"/>
          <w:bCs/>
          <w:color w:val="000000" w:themeColor="text1"/>
          <w:sz w:val="24"/>
        </w:rPr>
      </w:pPr>
      <w:r>
        <w:rPr>
          <w:rFonts w:hint="eastAsia" w:ascii="黑体" w:hAnsi="黑体" w:eastAsia="黑体" w:cs="Times New Roman"/>
          <w:b w:val="0"/>
          <w:bCs/>
          <w:color w:val="000000" w:themeColor="text1"/>
          <w:sz w:val="24"/>
          <w:szCs w:val="20"/>
          <w:lang w:val="en-US" w:eastAsia="zh-CN" w:bidi="ar-SA"/>
        </w:rPr>
        <w:t>4.装修免租期：</w:t>
      </w:r>
      <w:r>
        <w:rPr>
          <w:rFonts w:hint="eastAsia" w:ascii="Times New Roman" w:hAnsi="Times New Roman" w:cs="Times New Roman"/>
          <w:b w:val="0"/>
          <w:color w:val="000000" w:themeColor="text1"/>
          <w:sz w:val="24"/>
          <w:szCs w:val="20"/>
        </w:rPr>
        <w:t>新中商商家给予装修免租期一般为</w:t>
      </w:r>
      <w:r>
        <w:rPr>
          <w:rFonts w:hint="eastAsia" w:ascii="Times New Roman" w:hAnsi="Times New Roman" w:cs="Times New Roman"/>
          <w:b w:val="0"/>
          <w:color w:val="000000" w:themeColor="text1"/>
          <w:sz w:val="24"/>
          <w:szCs w:val="20"/>
          <w:lang w:val="en-US" w:eastAsia="zh-CN"/>
        </w:rPr>
        <w:t>30天</w:t>
      </w:r>
      <w:r>
        <w:rPr>
          <w:rFonts w:hint="eastAsia" w:ascii="Times New Roman" w:hAnsi="Times New Roman" w:cs="Times New Roman"/>
          <w:b w:val="0"/>
          <w:color w:val="000000" w:themeColor="text1"/>
          <w:sz w:val="24"/>
          <w:szCs w:val="20"/>
        </w:rPr>
        <w:t>。原商家中商原商铺，</w:t>
      </w:r>
      <w:r>
        <w:rPr>
          <w:rFonts w:hint="eastAsia" w:ascii="Times New Roman" w:hAnsi="Times New Roman" w:cs="Times New Roman"/>
          <w:b w:val="0"/>
          <w:color w:val="000000" w:themeColor="text1"/>
          <w:sz w:val="24"/>
          <w:szCs w:val="20"/>
          <w:lang w:eastAsia="zh-CN"/>
        </w:rPr>
        <w:t>确需</w:t>
      </w:r>
      <w:r>
        <w:rPr>
          <w:rFonts w:hint="eastAsia" w:ascii="Times New Roman" w:hAnsi="Times New Roman" w:cs="Times New Roman"/>
          <w:b w:val="0"/>
          <w:color w:val="000000" w:themeColor="text1"/>
          <w:sz w:val="24"/>
          <w:szCs w:val="20"/>
        </w:rPr>
        <w:t>重新装修的，</w:t>
      </w:r>
      <w:r>
        <w:rPr>
          <w:rFonts w:hint="eastAsia" w:ascii="Times New Roman" w:hAnsi="Times New Roman" w:cs="Times New Roman"/>
          <w:b w:val="0"/>
          <w:color w:val="000000" w:themeColor="text1"/>
          <w:sz w:val="24"/>
          <w:szCs w:val="20"/>
          <w:lang w:eastAsia="zh-CN"/>
        </w:rPr>
        <w:t>结合实际情况可</w:t>
      </w:r>
      <w:r>
        <w:rPr>
          <w:rFonts w:hint="eastAsia" w:ascii="Times New Roman" w:hAnsi="Times New Roman" w:cs="Times New Roman"/>
          <w:b w:val="0"/>
          <w:color w:val="000000" w:themeColor="text1"/>
          <w:sz w:val="24"/>
          <w:szCs w:val="20"/>
        </w:rPr>
        <w:t>给予不超过</w:t>
      </w:r>
      <w:r>
        <w:rPr>
          <w:rFonts w:hint="eastAsia" w:ascii="Times New Roman" w:hAnsi="Times New Roman" w:cs="Times New Roman"/>
          <w:b w:val="0"/>
          <w:color w:val="000000" w:themeColor="text1"/>
          <w:sz w:val="24"/>
          <w:szCs w:val="20"/>
          <w:lang w:val="en-US" w:eastAsia="zh-CN"/>
        </w:rPr>
        <w:t>30</w:t>
      </w:r>
      <w:r>
        <w:rPr>
          <w:rFonts w:hint="eastAsia" w:ascii="Times New Roman" w:hAnsi="Times New Roman" w:cs="Times New Roman"/>
          <w:b w:val="0"/>
          <w:color w:val="000000" w:themeColor="text1"/>
          <w:sz w:val="24"/>
          <w:szCs w:val="20"/>
        </w:rPr>
        <w:t>天的装修免租期。</w:t>
      </w:r>
    </w:p>
    <w:p w14:paraId="4018F197">
      <w:pPr>
        <w:pStyle w:val="63"/>
        <w:spacing w:line="500" w:lineRule="exact"/>
        <w:ind w:firstLine="0" w:firstLineChars="0"/>
        <w:rPr>
          <w:rFonts w:ascii="Times New Roman"/>
          <w:bCs/>
          <w:color w:val="000000" w:themeColor="text1"/>
          <w:sz w:val="24"/>
        </w:rPr>
      </w:pPr>
      <w:r>
        <w:rPr>
          <w:rFonts w:hint="eastAsia" w:ascii="黑体" w:hAnsi="黑体" w:eastAsia="黑体"/>
          <w:bCs/>
          <w:color w:val="000000" w:themeColor="text1"/>
          <w:sz w:val="24"/>
        </w:rPr>
        <w:t>5.履约保证金：</w:t>
      </w:r>
      <w:r>
        <w:rPr>
          <w:rFonts w:hint="eastAsia" w:ascii="Times New Roman"/>
          <w:bCs/>
          <w:color w:val="000000" w:themeColor="text1"/>
          <w:sz w:val="24"/>
        </w:rPr>
        <w:t>年度合同最高金额的25%。</w:t>
      </w:r>
    </w:p>
    <w:p w14:paraId="65688AAA">
      <w:pPr>
        <w:pStyle w:val="63"/>
        <w:ind w:firstLine="199" w:firstLineChars="95"/>
        <w:rPr>
          <w:color w:val="000000" w:themeColor="text1"/>
        </w:rPr>
      </w:pPr>
    </w:p>
    <w:p w14:paraId="1A5D6AD8">
      <w:pPr>
        <w:spacing w:line="360" w:lineRule="auto"/>
        <w:rPr>
          <w:bCs/>
          <w:color w:val="000000" w:themeColor="text1"/>
          <w:szCs w:val="20"/>
        </w:rPr>
      </w:pPr>
      <w:r>
        <w:rPr>
          <w:rFonts w:hint="eastAsia"/>
          <w:bCs/>
          <w:color w:val="000000" w:themeColor="text1"/>
          <w:szCs w:val="20"/>
        </w:rPr>
        <w:t>6.</w:t>
      </w:r>
      <w:r>
        <w:rPr>
          <w:rFonts w:hint="eastAsia" w:ascii="黑体" w:hAnsi="黑体" w:eastAsia="黑体"/>
          <w:bCs/>
          <w:color w:val="000000" w:themeColor="text1"/>
          <w:szCs w:val="20"/>
        </w:rPr>
        <w:t>合同期：</w:t>
      </w:r>
      <w:r>
        <w:rPr>
          <w:rFonts w:hint="eastAsia"/>
          <w:bCs/>
          <w:color w:val="000000" w:themeColor="text1"/>
          <w:szCs w:val="20"/>
        </w:rPr>
        <w:t>3年</w:t>
      </w:r>
    </w:p>
    <w:p w14:paraId="3DD4F8B8">
      <w:pPr>
        <w:rPr>
          <w:color w:val="000000" w:themeColor="text1"/>
        </w:rPr>
      </w:pPr>
      <w:r>
        <w:rPr>
          <w:rFonts w:hint="eastAsia" w:ascii="黑体" w:hAnsi="黑体" w:eastAsia="黑体"/>
          <w:bCs/>
          <w:color w:val="000000" w:themeColor="text1"/>
          <w:szCs w:val="20"/>
        </w:rPr>
        <w:t>7.年递增率（综合服务费单价</w:t>
      </w:r>
      <w:r>
        <w:rPr>
          <w:rFonts w:hint="eastAsia"/>
          <w:color w:val="000000" w:themeColor="text1"/>
        </w:rPr>
        <w:t>）：</w:t>
      </w:r>
      <w:bookmarkStart w:id="1055" w:name="OLE_LINK108"/>
      <w:bookmarkStart w:id="1056" w:name="OLE_LINK109"/>
      <w:r>
        <w:rPr>
          <w:color w:val="000000" w:themeColor="text1"/>
        </w:rPr>
        <w:t>2%</w:t>
      </w:r>
      <w:r>
        <w:rPr>
          <w:rFonts w:hint="eastAsia"/>
          <w:color w:val="000000" w:themeColor="text1"/>
        </w:rPr>
        <w:t>、</w:t>
      </w:r>
      <w:r>
        <w:rPr>
          <w:color w:val="000000" w:themeColor="text1"/>
        </w:rPr>
        <w:t>3%</w:t>
      </w:r>
      <w:r>
        <w:rPr>
          <w:rFonts w:hint="eastAsia"/>
          <w:color w:val="000000" w:themeColor="text1"/>
        </w:rPr>
        <w:t>、</w:t>
      </w:r>
      <w:r>
        <w:rPr>
          <w:color w:val="000000" w:themeColor="text1"/>
        </w:rPr>
        <w:t>4%</w:t>
      </w:r>
      <w:r>
        <w:rPr>
          <w:rFonts w:hint="eastAsia"/>
          <w:color w:val="000000" w:themeColor="text1"/>
        </w:rPr>
        <w:t>、</w:t>
      </w:r>
      <w:r>
        <w:rPr>
          <w:color w:val="000000" w:themeColor="text1"/>
        </w:rPr>
        <w:t>5%</w:t>
      </w:r>
      <w:r>
        <w:rPr>
          <w:rFonts w:hint="eastAsia"/>
          <w:color w:val="000000" w:themeColor="text1"/>
        </w:rPr>
        <w:t>（由竞商人根据竞商实际自行决定）</w:t>
      </w:r>
    </w:p>
    <w:bookmarkEnd w:id="1055"/>
    <w:bookmarkEnd w:id="1056"/>
    <w:p w14:paraId="58849CDE">
      <w:pPr>
        <w:rPr>
          <w:color w:val="000000" w:themeColor="text1"/>
        </w:rPr>
      </w:pPr>
    </w:p>
    <w:p w14:paraId="3792D61C">
      <w:pPr>
        <w:pStyle w:val="63"/>
        <w:ind w:firstLine="420"/>
        <w:rPr>
          <w:color w:val="000000" w:themeColor="text1"/>
        </w:rPr>
      </w:pPr>
    </w:p>
    <w:p w14:paraId="733C90EB">
      <w:pPr>
        <w:rPr>
          <w:color w:val="000000" w:themeColor="text1"/>
        </w:rPr>
      </w:pPr>
    </w:p>
    <w:p w14:paraId="71BA94EF">
      <w:pPr>
        <w:spacing w:line="360" w:lineRule="auto"/>
        <w:ind w:firstLine="240" w:firstLineChars="100"/>
        <w:jc w:val="right"/>
        <w:rPr>
          <w:color w:val="000000" w:themeColor="text1"/>
        </w:rPr>
      </w:pPr>
    </w:p>
    <w:p w14:paraId="4018442F">
      <w:pPr>
        <w:pStyle w:val="63"/>
        <w:ind w:firstLine="420"/>
      </w:pPr>
    </w:p>
    <w:p w14:paraId="1FC65BD0"/>
    <w:p w14:paraId="28C7649E">
      <w:pPr>
        <w:pStyle w:val="63"/>
        <w:ind w:firstLine="420"/>
      </w:pPr>
    </w:p>
    <w:p w14:paraId="6417AE86"/>
    <w:p w14:paraId="5244BD7A">
      <w:pPr>
        <w:pStyle w:val="63"/>
        <w:ind w:firstLine="420"/>
      </w:pPr>
    </w:p>
    <w:p w14:paraId="2C6C45C3"/>
    <w:p w14:paraId="3F2AC9F5">
      <w:pPr>
        <w:pStyle w:val="63"/>
        <w:ind w:firstLine="420"/>
      </w:pPr>
    </w:p>
    <w:p w14:paraId="0B551A2D"/>
    <w:p w14:paraId="1DDF3545">
      <w:pPr>
        <w:pStyle w:val="63"/>
        <w:ind w:firstLine="420"/>
      </w:pPr>
    </w:p>
    <w:p w14:paraId="607AE64F"/>
    <w:p w14:paraId="3994C7EF">
      <w:pPr>
        <w:pStyle w:val="63"/>
        <w:ind w:firstLine="420"/>
      </w:pPr>
    </w:p>
    <w:p w14:paraId="51CC39B8">
      <w:pPr>
        <w:pStyle w:val="63"/>
        <w:ind w:firstLine="420"/>
      </w:pPr>
    </w:p>
    <w:p w14:paraId="7AEFCCF7"/>
    <w:p w14:paraId="236BD6EF"/>
    <w:p w14:paraId="3818D6B9"/>
    <w:p w14:paraId="26DBD6A3">
      <w:pPr>
        <w:pStyle w:val="63"/>
        <w:ind w:firstLine="420"/>
      </w:pPr>
    </w:p>
    <w:p w14:paraId="2D823D06"/>
    <w:p w14:paraId="1C3FBB97">
      <w:pPr>
        <w:spacing w:line="360" w:lineRule="auto"/>
        <w:ind w:firstLine="240" w:firstLineChars="100"/>
        <w:jc w:val="right"/>
        <w:rPr>
          <w:rFonts w:hint="default" w:eastAsia="宋体"/>
          <w:color w:val="auto"/>
          <w:lang w:val="en-US" w:eastAsia="zh-CN"/>
        </w:rPr>
      </w:pPr>
      <w:r>
        <w:rPr>
          <w:color w:val="000000" w:themeColor="text1"/>
        </w:rPr>
        <w:t>招商</w:t>
      </w:r>
      <w:r>
        <w:rPr>
          <w:color w:val="auto"/>
        </w:rPr>
        <w:t>编号：SL-</w:t>
      </w:r>
      <w:r>
        <w:rPr>
          <w:rFonts w:hint="eastAsia"/>
          <w:color w:val="auto"/>
          <w:lang w:val="en-US" w:eastAsia="zh-CN"/>
        </w:rPr>
        <w:t>2025</w:t>
      </w:r>
      <w:r>
        <w:rPr>
          <w:color w:val="auto"/>
        </w:rPr>
        <w:t>-</w:t>
      </w:r>
      <w:r>
        <w:rPr>
          <w:rFonts w:hint="eastAsia"/>
          <w:color w:val="auto"/>
          <w:lang w:val="en-US" w:eastAsia="zh-CN"/>
        </w:rPr>
        <w:t>9</w:t>
      </w:r>
      <w:r>
        <w:rPr>
          <w:color w:val="auto"/>
        </w:rPr>
        <w:t>-</w:t>
      </w:r>
      <w:r>
        <w:rPr>
          <w:rFonts w:hint="eastAsia"/>
          <w:color w:val="auto"/>
          <w:lang w:val="en-US" w:eastAsia="zh-CN"/>
        </w:rPr>
        <w:t>25</w:t>
      </w:r>
    </w:p>
    <w:p w14:paraId="5D6045CC">
      <w:pPr>
        <w:spacing w:line="360" w:lineRule="auto"/>
        <w:rPr>
          <w:color w:val="000000" w:themeColor="text1"/>
        </w:rPr>
      </w:pPr>
    </w:p>
    <w:p w14:paraId="01A71A91">
      <w:pPr>
        <w:pStyle w:val="173"/>
        <w:spacing w:before="0" w:after="0" w:line="360" w:lineRule="auto"/>
        <w:outlineLvl w:val="0"/>
        <w:rPr>
          <w:rFonts w:ascii="Times New Roman"/>
          <w:color w:val="000000" w:themeColor="text1"/>
          <w:sz w:val="44"/>
          <w:szCs w:val="44"/>
        </w:rPr>
      </w:pPr>
      <w:bookmarkStart w:id="1057" w:name="_Toc357718977"/>
      <w:bookmarkStart w:id="1058" w:name="_Toc1162"/>
      <w:bookmarkStart w:id="1059" w:name="_Toc433369461"/>
      <w:r>
        <w:rPr>
          <w:rFonts w:ascii="Times New Roman"/>
          <w:color w:val="000000" w:themeColor="text1"/>
          <w:sz w:val="44"/>
          <w:szCs w:val="44"/>
        </w:rPr>
        <w:t>第四章</w:t>
      </w:r>
      <w:bookmarkEnd w:id="1057"/>
      <w:r>
        <w:rPr>
          <w:rFonts w:ascii="Times New Roman"/>
          <w:color w:val="000000" w:themeColor="text1"/>
          <w:sz w:val="44"/>
          <w:szCs w:val="44"/>
        </w:rPr>
        <w:t>评审细则</w:t>
      </w:r>
      <w:bookmarkEnd w:id="1058"/>
      <w:bookmarkEnd w:id="1059"/>
      <w:bookmarkStart w:id="1060" w:name="_Toc357806236"/>
      <w:bookmarkStart w:id="1061" w:name="_Toc47513031"/>
      <w:bookmarkStart w:id="1062" w:name="_Toc17473479"/>
      <w:bookmarkStart w:id="1063" w:name="_Toc422249719"/>
      <w:bookmarkStart w:id="1064" w:name="_Toc496099037"/>
      <w:bookmarkStart w:id="1065" w:name="_Toc77318616"/>
      <w:bookmarkStart w:id="1066" w:name="_Toc6174"/>
      <w:bookmarkStart w:id="1067" w:name="_Toc433187945"/>
      <w:bookmarkStart w:id="1068" w:name="_Toc60663765"/>
    </w:p>
    <w:p w14:paraId="6B6734FD">
      <w:pPr>
        <w:pStyle w:val="173"/>
        <w:spacing w:before="0" w:after="0" w:line="360" w:lineRule="auto"/>
        <w:outlineLvl w:val="0"/>
        <w:rPr>
          <w:rFonts w:ascii="Times New Roman"/>
          <w:color w:val="000000" w:themeColor="text1"/>
        </w:rPr>
      </w:pPr>
    </w:p>
    <w:p w14:paraId="7075AA44">
      <w:pPr>
        <w:pStyle w:val="173"/>
        <w:spacing w:before="0" w:after="0" w:line="360" w:lineRule="auto"/>
        <w:outlineLvl w:val="0"/>
        <w:rPr>
          <w:rFonts w:ascii="Times New Roman"/>
          <w:color w:val="000000" w:themeColor="text1"/>
        </w:rPr>
      </w:pPr>
    </w:p>
    <w:p w14:paraId="10222B4F">
      <w:pPr>
        <w:pStyle w:val="173"/>
        <w:spacing w:before="0" w:after="0" w:line="360" w:lineRule="auto"/>
        <w:outlineLvl w:val="0"/>
        <w:rPr>
          <w:rFonts w:ascii="Times New Roman"/>
          <w:color w:val="000000" w:themeColor="text1"/>
        </w:rPr>
      </w:pPr>
    </w:p>
    <w:p w14:paraId="2B5405A9">
      <w:pPr>
        <w:pStyle w:val="173"/>
        <w:spacing w:before="0" w:after="0" w:line="360" w:lineRule="auto"/>
        <w:outlineLvl w:val="0"/>
        <w:rPr>
          <w:rFonts w:ascii="Times New Roman"/>
          <w:color w:val="000000" w:themeColor="text1"/>
        </w:rPr>
      </w:pPr>
    </w:p>
    <w:p w14:paraId="261BA0F2">
      <w:pPr>
        <w:pStyle w:val="173"/>
        <w:spacing w:before="0" w:after="0" w:line="360" w:lineRule="auto"/>
        <w:outlineLvl w:val="0"/>
        <w:rPr>
          <w:rFonts w:ascii="Times New Roman"/>
          <w:color w:val="000000" w:themeColor="text1"/>
        </w:rPr>
      </w:pPr>
    </w:p>
    <w:p w14:paraId="4749F806">
      <w:pPr>
        <w:pStyle w:val="173"/>
        <w:spacing w:before="0" w:after="0" w:line="360" w:lineRule="auto"/>
        <w:outlineLvl w:val="0"/>
        <w:rPr>
          <w:rFonts w:ascii="Times New Roman"/>
          <w:color w:val="000000" w:themeColor="text1"/>
        </w:rPr>
      </w:pPr>
    </w:p>
    <w:p w14:paraId="31EBEFB2">
      <w:pPr>
        <w:pStyle w:val="173"/>
        <w:spacing w:before="0" w:after="0" w:line="360" w:lineRule="auto"/>
        <w:outlineLvl w:val="0"/>
        <w:rPr>
          <w:rFonts w:ascii="Times New Roman"/>
          <w:color w:val="000000" w:themeColor="text1"/>
        </w:rPr>
      </w:pPr>
    </w:p>
    <w:p w14:paraId="0A2DBA7B">
      <w:pPr>
        <w:pStyle w:val="173"/>
        <w:spacing w:before="0" w:after="0" w:line="360" w:lineRule="auto"/>
        <w:outlineLvl w:val="0"/>
        <w:rPr>
          <w:rFonts w:ascii="Times New Roman"/>
          <w:color w:val="000000" w:themeColor="text1"/>
        </w:rPr>
      </w:pPr>
    </w:p>
    <w:p w14:paraId="0F91B167">
      <w:pPr>
        <w:pStyle w:val="173"/>
        <w:spacing w:before="0" w:after="0" w:line="360" w:lineRule="auto"/>
        <w:outlineLvl w:val="0"/>
        <w:rPr>
          <w:rFonts w:ascii="Times New Roman"/>
          <w:color w:val="000000" w:themeColor="text1"/>
        </w:rPr>
      </w:pPr>
    </w:p>
    <w:p w14:paraId="1F2880B0">
      <w:pPr>
        <w:pStyle w:val="173"/>
        <w:spacing w:before="0" w:after="0" w:line="360" w:lineRule="auto"/>
        <w:outlineLvl w:val="0"/>
        <w:rPr>
          <w:rFonts w:ascii="Times New Roman"/>
          <w:color w:val="000000" w:themeColor="text1"/>
        </w:rPr>
      </w:pPr>
    </w:p>
    <w:p w14:paraId="27262505">
      <w:pPr>
        <w:pStyle w:val="173"/>
        <w:spacing w:before="0" w:after="0" w:line="360" w:lineRule="auto"/>
        <w:outlineLvl w:val="0"/>
        <w:rPr>
          <w:rFonts w:ascii="Times New Roman"/>
          <w:color w:val="000000" w:themeColor="text1"/>
        </w:rPr>
      </w:pPr>
    </w:p>
    <w:p w14:paraId="22666B08">
      <w:pPr>
        <w:pStyle w:val="173"/>
        <w:spacing w:before="0" w:after="0" w:line="360" w:lineRule="auto"/>
        <w:outlineLvl w:val="0"/>
        <w:rPr>
          <w:rFonts w:ascii="Times New Roman"/>
          <w:color w:val="000000" w:themeColor="text1"/>
        </w:rPr>
      </w:pPr>
    </w:p>
    <w:p w14:paraId="2780554E">
      <w:pPr>
        <w:pStyle w:val="173"/>
        <w:spacing w:before="0" w:after="0" w:line="360" w:lineRule="auto"/>
        <w:outlineLvl w:val="0"/>
        <w:rPr>
          <w:rFonts w:ascii="Times New Roman"/>
          <w:color w:val="000000" w:themeColor="text1"/>
        </w:rPr>
      </w:pPr>
    </w:p>
    <w:p w14:paraId="4CAD2DCF">
      <w:pPr>
        <w:pStyle w:val="173"/>
        <w:spacing w:before="0" w:after="0" w:line="360" w:lineRule="auto"/>
        <w:outlineLvl w:val="0"/>
        <w:rPr>
          <w:rFonts w:ascii="Times New Roman"/>
          <w:color w:val="000000" w:themeColor="text1"/>
        </w:rPr>
      </w:pPr>
    </w:p>
    <w:p w14:paraId="08E65A7C">
      <w:pPr>
        <w:pStyle w:val="173"/>
        <w:spacing w:before="0" w:after="0" w:line="360" w:lineRule="auto"/>
        <w:outlineLvl w:val="0"/>
        <w:rPr>
          <w:rFonts w:ascii="Times New Roman"/>
          <w:color w:val="000000" w:themeColor="text1"/>
        </w:rPr>
      </w:pPr>
    </w:p>
    <w:p w14:paraId="5BCA0920">
      <w:pPr>
        <w:pStyle w:val="173"/>
        <w:spacing w:before="0" w:after="0" w:line="360" w:lineRule="auto"/>
        <w:outlineLvl w:val="0"/>
        <w:rPr>
          <w:rFonts w:ascii="Times New Roman"/>
          <w:color w:val="000000" w:themeColor="text1"/>
        </w:rPr>
      </w:pPr>
    </w:p>
    <w:p w14:paraId="125E13F3">
      <w:pPr>
        <w:pStyle w:val="173"/>
        <w:spacing w:before="0" w:after="0" w:line="360" w:lineRule="auto"/>
        <w:outlineLvl w:val="0"/>
        <w:rPr>
          <w:rFonts w:ascii="Times New Roman"/>
          <w:color w:val="000000" w:themeColor="text1"/>
        </w:rPr>
      </w:pPr>
    </w:p>
    <w:p w14:paraId="2B801BB9">
      <w:pPr>
        <w:pStyle w:val="173"/>
        <w:spacing w:before="0" w:after="0" w:line="360" w:lineRule="auto"/>
        <w:outlineLvl w:val="0"/>
        <w:rPr>
          <w:rFonts w:ascii="Times New Roman"/>
          <w:color w:val="000000" w:themeColor="text1"/>
        </w:rPr>
      </w:pPr>
    </w:p>
    <w:p w14:paraId="06005708">
      <w:pPr>
        <w:pStyle w:val="173"/>
        <w:spacing w:before="0" w:after="0" w:line="360" w:lineRule="auto"/>
        <w:outlineLvl w:val="0"/>
        <w:rPr>
          <w:rFonts w:ascii="Times New Roman"/>
          <w:color w:val="000000" w:themeColor="text1"/>
        </w:rPr>
      </w:pPr>
    </w:p>
    <w:p w14:paraId="000DD853">
      <w:pPr>
        <w:pStyle w:val="173"/>
        <w:spacing w:before="0" w:after="0" w:line="360" w:lineRule="auto"/>
        <w:outlineLvl w:val="0"/>
        <w:rPr>
          <w:rFonts w:hint="eastAsia" w:ascii="Times New Roman"/>
          <w:color w:val="000000" w:themeColor="text1"/>
        </w:rPr>
      </w:pPr>
    </w:p>
    <w:p w14:paraId="0F6CA30D">
      <w:pPr>
        <w:pStyle w:val="173"/>
        <w:spacing w:before="0" w:after="0" w:line="360" w:lineRule="auto"/>
        <w:outlineLvl w:val="0"/>
        <w:rPr>
          <w:rFonts w:hint="eastAsia" w:ascii="Times New Roman"/>
          <w:color w:val="000000" w:themeColor="text1"/>
        </w:rPr>
      </w:pPr>
    </w:p>
    <w:p w14:paraId="44E3B74B">
      <w:pPr>
        <w:pStyle w:val="173"/>
        <w:spacing w:before="0" w:after="0" w:line="360" w:lineRule="auto"/>
        <w:outlineLvl w:val="0"/>
        <w:rPr>
          <w:rFonts w:ascii="Times New Roman"/>
          <w:color w:val="000000" w:themeColor="text1"/>
        </w:rPr>
      </w:pPr>
    </w:p>
    <w:p w14:paraId="5E7BAB99">
      <w:pPr>
        <w:pStyle w:val="173"/>
        <w:spacing w:before="0" w:after="0" w:line="360" w:lineRule="auto"/>
        <w:jc w:val="left"/>
        <w:outlineLvl w:val="0"/>
        <w:rPr>
          <w:rFonts w:ascii="Times New Roman"/>
          <w:color w:val="000000" w:themeColor="text1"/>
        </w:rPr>
      </w:pPr>
    </w:p>
    <w:p w14:paraId="659930AB">
      <w:pPr>
        <w:pStyle w:val="173"/>
        <w:spacing w:before="0" w:after="0" w:line="360" w:lineRule="auto"/>
        <w:jc w:val="left"/>
        <w:outlineLvl w:val="0"/>
        <w:rPr>
          <w:rFonts w:ascii="Times New Roman"/>
          <w:color w:val="000000" w:themeColor="text1"/>
        </w:rPr>
      </w:pPr>
    </w:p>
    <w:p w14:paraId="22B83AF1">
      <w:pPr>
        <w:pStyle w:val="173"/>
        <w:spacing w:before="0" w:after="0" w:line="360" w:lineRule="auto"/>
        <w:jc w:val="left"/>
        <w:outlineLvl w:val="0"/>
        <w:rPr>
          <w:rFonts w:ascii="Times New Roman"/>
          <w:color w:val="000000" w:themeColor="text1"/>
        </w:rPr>
      </w:pPr>
    </w:p>
    <w:p w14:paraId="02C50072">
      <w:pPr>
        <w:pStyle w:val="173"/>
        <w:spacing w:before="0" w:after="0" w:line="360" w:lineRule="auto"/>
        <w:outlineLvl w:val="0"/>
        <w:rPr>
          <w:rFonts w:ascii="Times New Roman"/>
          <w:color w:val="000000" w:themeColor="text1"/>
        </w:rPr>
      </w:pPr>
      <w:r>
        <w:rPr>
          <w:rFonts w:ascii="Times New Roman"/>
          <w:color w:val="000000" w:themeColor="text1"/>
        </w:rPr>
        <w:t>第四章</w:t>
      </w:r>
      <w:bookmarkEnd w:id="1060"/>
      <w:r>
        <w:rPr>
          <w:rFonts w:ascii="Times New Roman"/>
          <w:color w:val="000000" w:themeColor="text1"/>
        </w:rPr>
        <w:t>评审细则</w:t>
      </w:r>
      <w:bookmarkEnd w:id="1061"/>
      <w:bookmarkEnd w:id="1062"/>
      <w:bookmarkEnd w:id="1063"/>
      <w:bookmarkEnd w:id="1064"/>
      <w:bookmarkEnd w:id="1065"/>
      <w:bookmarkEnd w:id="1066"/>
      <w:bookmarkEnd w:id="1067"/>
      <w:bookmarkEnd w:id="1068"/>
    </w:p>
    <w:p w14:paraId="11ED1F95">
      <w:pPr>
        <w:pStyle w:val="2"/>
        <w:numPr>
          <w:ilvl w:val="0"/>
          <w:numId w:val="16"/>
        </w:numPr>
        <w:spacing w:before="0" w:after="0" w:line="360" w:lineRule="auto"/>
        <w:rPr>
          <w:rFonts w:ascii="Times New Roman"/>
          <w:color w:val="000000" w:themeColor="text1"/>
        </w:rPr>
      </w:pPr>
      <w:r>
        <w:rPr>
          <w:rFonts w:hint="eastAsia" w:ascii="Times New Roman"/>
          <w:color w:val="000000" w:themeColor="text1"/>
        </w:rPr>
        <w:t>评审小组</w:t>
      </w:r>
    </w:p>
    <w:p w14:paraId="24624794">
      <w:pPr>
        <w:pStyle w:val="21"/>
        <w:snapToGrid w:val="0"/>
        <w:spacing w:before="50" w:afterLines="50" w:line="360" w:lineRule="auto"/>
        <w:ind w:left="0" w:leftChars="0" w:firstLine="480" w:firstLineChars="200"/>
        <w:jc w:val="left"/>
        <w:rPr>
          <w:bCs/>
          <w:color w:val="000000" w:themeColor="text1"/>
          <w:sz w:val="24"/>
        </w:rPr>
      </w:pPr>
      <w:r>
        <w:rPr>
          <w:bCs/>
          <w:color w:val="000000" w:themeColor="text1"/>
          <w:sz w:val="24"/>
        </w:rPr>
        <w:t>由招</w:t>
      </w:r>
      <w:r>
        <w:rPr>
          <w:rFonts w:hint="eastAsia"/>
          <w:bCs/>
          <w:color w:val="000000" w:themeColor="text1"/>
          <w:sz w:val="24"/>
        </w:rPr>
        <w:t>商人</w:t>
      </w:r>
      <w:r>
        <w:rPr>
          <w:bCs/>
          <w:color w:val="000000" w:themeColor="text1"/>
          <w:sz w:val="24"/>
        </w:rPr>
        <w:t>代表</w:t>
      </w:r>
      <w:r>
        <w:rPr>
          <w:rFonts w:hint="eastAsia"/>
          <w:bCs/>
          <w:color w:val="000000" w:themeColor="text1"/>
          <w:sz w:val="24"/>
        </w:rPr>
        <w:t>1</w:t>
      </w:r>
      <w:r>
        <w:rPr>
          <w:bCs/>
          <w:color w:val="000000" w:themeColor="text1"/>
          <w:sz w:val="24"/>
        </w:rPr>
        <w:t>名以及相关行业专家</w:t>
      </w:r>
      <w:r>
        <w:rPr>
          <w:rFonts w:hint="eastAsia"/>
          <w:bCs/>
          <w:color w:val="000000" w:themeColor="text1"/>
          <w:sz w:val="24"/>
        </w:rPr>
        <w:t>4</w:t>
      </w:r>
      <w:r>
        <w:rPr>
          <w:bCs/>
          <w:color w:val="000000" w:themeColor="text1"/>
          <w:sz w:val="24"/>
        </w:rPr>
        <w:t>名，共计</w:t>
      </w:r>
      <w:r>
        <w:rPr>
          <w:rFonts w:hint="eastAsia"/>
          <w:bCs/>
          <w:color w:val="000000" w:themeColor="text1"/>
          <w:sz w:val="24"/>
        </w:rPr>
        <w:t>5</w:t>
      </w:r>
      <w:r>
        <w:rPr>
          <w:bCs/>
          <w:color w:val="000000" w:themeColor="text1"/>
          <w:sz w:val="24"/>
        </w:rPr>
        <w:t>名组成</w:t>
      </w:r>
      <w:r>
        <w:rPr>
          <w:rFonts w:hint="eastAsia"/>
          <w:bCs/>
          <w:color w:val="000000" w:themeColor="text1"/>
          <w:sz w:val="24"/>
        </w:rPr>
        <w:t>评审小组</w:t>
      </w:r>
      <w:r>
        <w:rPr>
          <w:bCs/>
          <w:color w:val="000000" w:themeColor="text1"/>
          <w:sz w:val="24"/>
        </w:rPr>
        <w:t>，</w:t>
      </w:r>
      <w:r>
        <w:rPr>
          <w:rFonts w:hint="eastAsia"/>
          <w:bCs/>
          <w:color w:val="000000" w:themeColor="text1"/>
          <w:sz w:val="24"/>
        </w:rPr>
        <w:t>对本项目进行评审，并</w:t>
      </w:r>
      <w:r>
        <w:rPr>
          <w:bCs/>
          <w:color w:val="000000" w:themeColor="text1"/>
          <w:sz w:val="24"/>
        </w:rPr>
        <w:t>在评审过程中行使评委的职权。</w:t>
      </w:r>
      <w:r>
        <w:rPr>
          <w:rFonts w:hint="eastAsia"/>
          <w:bCs/>
          <w:color w:val="000000" w:themeColor="text1"/>
          <w:sz w:val="24"/>
        </w:rPr>
        <w:t>评审小组</w:t>
      </w:r>
      <w:r>
        <w:rPr>
          <w:bCs/>
          <w:color w:val="000000" w:themeColor="text1"/>
          <w:sz w:val="24"/>
        </w:rPr>
        <w:t>设一名主任评委，整个评审工作由主任评委主持。</w:t>
      </w:r>
    </w:p>
    <w:p w14:paraId="6D9C850C">
      <w:pPr>
        <w:pStyle w:val="21"/>
        <w:snapToGrid w:val="0"/>
        <w:spacing w:before="50" w:afterLines="50" w:line="360" w:lineRule="auto"/>
        <w:ind w:left="0" w:leftChars="0" w:firstLine="480" w:firstLineChars="200"/>
        <w:jc w:val="left"/>
        <w:rPr>
          <w:bCs/>
          <w:color w:val="000000" w:themeColor="text1"/>
          <w:sz w:val="24"/>
        </w:rPr>
      </w:pPr>
      <w:r>
        <w:rPr>
          <w:bCs/>
          <w:color w:val="000000" w:themeColor="text1"/>
          <w:sz w:val="24"/>
        </w:rPr>
        <w:t>全体评委应严格按照招商文件第四章评审细则所规定的评分方法</w:t>
      </w:r>
      <w:r>
        <w:rPr>
          <w:rFonts w:hint="eastAsia"/>
          <w:bCs/>
          <w:color w:val="000000" w:themeColor="text1"/>
          <w:sz w:val="24"/>
        </w:rPr>
        <w:t>对本项目的竞商文件</w:t>
      </w:r>
      <w:r>
        <w:rPr>
          <w:bCs/>
          <w:color w:val="000000" w:themeColor="text1"/>
          <w:sz w:val="24"/>
        </w:rPr>
        <w:t>进行评分和提出评审意</w:t>
      </w:r>
      <w:r>
        <w:rPr>
          <w:rFonts w:hint="eastAsia"/>
          <w:bCs/>
          <w:color w:val="000000" w:themeColor="text1"/>
          <w:sz w:val="24"/>
        </w:rPr>
        <w:t>见，对本项目的竞商人进行排序，递</w:t>
      </w:r>
      <w:r>
        <w:rPr>
          <w:bCs/>
          <w:color w:val="000000" w:themeColor="text1"/>
          <w:sz w:val="24"/>
        </w:rPr>
        <w:t>交招商</w:t>
      </w:r>
      <w:r>
        <w:rPr>
          <w:rFonts w:hint="eastAsia"/>
          <w:bCs/>
          <w:color w:val="000000" w:themeColor="text1"/>
          <w:sz w:val="24"/>
        </w:rPr>
        <w:t>人</w:t>
      </w:r>
      <w:r>
        <w:rPr>
          <w:bCs/>
          <w:color w:val="000000" w:themeColor="text1"/>
          <w:sz w:val="24"/>
        </w:rPr>
        <w:t>。</w:t>
      </w:r>
    </w:p>
    <w:p w14:paraId="25BB3693">
      <w:pPr>
        <w:pStyle w:val="2"/>
        <w:numPr>
          <w:ilvl w:val="0"/>
          <w:numId w:val="16"/>
        </w:numPr>
        <w:spacing w:before="0" w:after="0" w:line="360" w:lineRule="auto"/>
        <w:rPr>
          <w:rFonts w:ascii="Times New Roman"/>
          <w:color w:val="000000" w:themeColor="text1"/>
        </w:rPr>
      </w:pPr>
      <w:bookmarkStart w:id="1069" w:name="_Toc422249721"/>
      <w:bookmarkStart w:id="1070" w:name="_Toc17473481"/>
      <w:bookmarkStart w:id="1071" w:name="_Toc21987"/>
      <w:bookmarkStart w:id="1072" w:name="_Toc77318618"/>
      <w:bookmarkStart w:id="1073" w:name="_Toc433187947"/>
      <w:bookmarkStart w:id="1074" w:name="_Toc496099039"/>
      <w:bookmarkStart w:id="1075" w:name="_Toc377495887"/>
      <w:bookmarkStart w:id="1076" w:name="_Toc60663767"/>
      <w:bookmarkStart w:id="1077" w:name="_Toc377495750"/>
      <w:bookmarkStart w:id="1078" w:name="_Toc47513033"/>
      <w:r>
        <w:rPr>
          <w:rFonts w:ascii="Times New Roman"/>
          <w:color w:val="000000" w:themeColor="text1"/>
        </w:rPr>
        <w:t>评审方法</w:t>
      </w:r>
      <w:bookmarkEnd w:id="1069"/>
      <w:bookmarkEnd w:id="1070"/>
      <w:bookmarkEnd w:id="1071"/>
      <w:bookmarkEnd w:id="1072"/>
      <w:bookmarkEnd w:id="1073"/>
      <w:bookmarkEnd w:id="1074"/>
      <w:bookmarkEnd w:id="1075"/>
      <w:bookmarkEnd w:id="1076"/>
      <w:bookmarkEnd w:id="1077"/>
      <w:bookmarkEnd w:id="1078"/>
    </w:p>
    <w:p w14:paraId="53B54B6A">
      <w:pPr>
        <w:numPr>
          <w:ilvl w:val="1"/>
          <w:numId w:val="16"/>
        </w:numPr>
        <w:spacing w:line="360" w:lineRule="auto"/>
        <w:rPr>
          <w:color w:val="000000" w:themeColor="text1"/>
        </w:rPr>
      </w:pPr>
      <w:r>
        <w:rPr>
          <w:color w:val="000000" w:themeColor="text1"/>
        </w:rPr>
        <w:t>总则</w:t>
      </w:r>
    </w:p>
    <w:p w14:paraId="29BA54FD">
      <w:pPr>
        <w:pStyle w:val="21"/>
        <w:snapToGrid w:val="0"/>
        <w:spacing w:before="50" w:afterLines="50" w:line="360" w:lineRule="auto"/>
        <w:ind w:left="0" w:leftChars="0" w:firstLine="480" w:firstLineChars="200"/>
        <w:jc w:val="left"/>
        <w:rPr>
          <w:bCs/>
          <w:color w:val="auto"/>
          <w:sz w:val="24"/>
          <w:highlight w:val="none"/>
        </w:rPr>
      </w:pPr>
      <w:r>
        <w:rPr>
          <w:bCs/>
          <w:color w:val="000000" w:themeColor="text1"/>
          <w:sz w:val="24"/>
        </w:rPr>
        <w:t>竞商文件递交截止</w:t>
      </w:r>
      <w:r>
        <w:rPr>
          <w:bCs/>
          <w:color w:val="auto"/>
          <w:sz w:val="24"/>
          <w:highlight w:val="none"/>
        </w:rPr>
        <w:t>时间为</w:t>
      </w:r>
      <w:r>
        <w:rPr>
          <w:rFonts w:hint="eastAsia"/>
          <w:bCs/>
          <w:color w:val="auto"/>
          <w:sz w:val="24"/>
          <w:highlight w:val="none"/>
          <w:lang w:val="en-US" w:eastAsia="zh-CN"/>
        </w:rPr>
        <w:t>2025</w:t>
      </w:r>
      <w:r>
        <w:rPr>
          <w:bCs/>
          <w:color w:val="auto"/>
          <w:sz w:val="24"/>
          <w:highlight w:val="none"/>
        </w:rPr>
        <w:t>年</w:t>
      </w:r>
      <w:r>
        <w:rPr>
          <w:rFonts w:hint="eastAsia"/>
          <w:bCs/>
          <w:color w:val="auto"/>
          <w:sz w:val="24"/>
          <w:highlight w:val="none"/>
          <w:lang w:val="en-US" w:eastAsia="zh-CN"/>
        </w:rPr>
        <w:t>10</w:t>
      </w:r>
      <w:r>
        <w:rPr>
          <w:bCs/>
          <w:color w:val="auto"/>
          <w:sz w:val="24"/>
          <w:highlight w:val="none"/>
        </w:rPr>
        <w:t>月</w:t>
      </w:r>
      <w:r>
        <w:rPr>
          <w:rFonts w:hint="eastAsia"/>
          <w:bCs/>
          <w:color w:val="auto"/>
          <w:sz w:val="24"/>
          <w:highlight w:val="none"/>
          <w:lang w:val="en-US" w:eastAsia="zh-CN"/>
        </w:rPr>
        <w:t>15</w:t>
      </w:r>
      <w:r>
        <w:rPr>
          <w:bCs/>
          <w:color w:val="auto"/>
          <w:sz w:val="24"/>
          <w:highlight w:val="none"/>
        </w:rPr>
        <w:t>日</w:t>
      </w:r>
      <w:r>
        <w:rPr>
          <w:rFonts w:hint="eastAsia"/>
          <w:bCs/>
          <w:color w:val="auto"/>
          <w:sz w:val="24"/>
          <w:highlight w:val="none"/>
          <w:lang w:val="en-US" w:eastAsia="zh-CN"/>
        </w:rPr>
        <w:t>14</w:t>
      </w:r>
      <w:r>
        <w:rPr>
          <w:bCs/>
          <w:color w:val="auto"/>
          <w:sz w:val="24"/>
          <w:highlight w:val="none"/>
        </w:rPr>
        <w:t>时。</w:t>
      </w:r>
    </w:p>
    <w:p w14:paraId="40A1AFD9">
      <w:pPr>
        <w:pStyle w:val="21"/>
        <w:snapToGrid w:val="0"/>
        <w:spacing w:before="50" w:afterLines="50" w:line="360" w:lineRule="auto"/>
        <w:ind w:left="0" w:leftChars="0" w:firstLine="480" w:firstLineChars="200"/>
        <w:jc w:val="left"/>
        <w:rPr>
          <w:bCs/>
          <w:color w:val="000000" w:themeColor="text1"/>
          <w:sz w:val="24"/>
        </w:rPr>
      </w:pPr>
      <w:r>
        <w:rPr>
          <w:rFonts w:hint="eastAsia"/>
          <w:bCs/>
          <w:color w:val="000000" w:themeColor="text1"/>
          <w:sz w:val="24"/>
        </w:rPr>
        <w:t>本项目采用综合评分法进行评审。</w:t>
      </w:r>
    </w:p>
    <w:p w14:paraId="00B38E25">
      <w:pPr>
        <w:pStyle w:val="21"/>
        <w:snapToGrid w:val="0"/>
        <w:spacing w:before="50" w:afterLines="50" w:line="360" w:lineRule="auto"/>
        <w:ind w:left="0" w:leftChars="0" w:firstLine="480" w:firstLineChars="200"/>
        <w:jc w:val="left"/>
        <w:rPr>
          <w:bCs/>
          <w:color w:val="000000" w:themeColor="text1"/>
          <w:sz w:val="24"/>
        </w:rPr>
      </w:pPr>
      <w:r>
        <w:rPr>
          <w:bCs/>
          <w:color w:val="000000" w:themeColor="text1"/>
          <w:sz w:val="24"/>
        </w:rPr>
        <w:t>评审结论将只依据竞商人递交的竞商文件及有关的澄清答复做出。评审、评分仅针对通过初步评审的竞商文件进行。</w:t>
      </w:r>
    </w:p>
    <w:p w14:paraId="111D1A35">
      <w:pPr>
        <w:pStyle w:val="21"/>
        <w:snapToGrid w:val="0"/>
        <w:spacing w:before="50" w:afterLines="50" w:line="360" w:lineRule="auto"/>
        <w:ind w:left="0" w:leftChars="0" w:firstLine="480" w:firstLineChars="200"/>
        <w:jc w:val="left"/>
        <w:rPr>
          <w:bCs/>
          <w:color w:val="000000" w:themeColor="text1"/>
          <w:sz w:val="24"/>
        </w:rPr>
      </w:pPr>
      <w:r>
        <w:rPr>
          <w:rFonts w:hint="eastAsia"/>
          <w:bCs/>
          <w:color w:val="000000" w:themeColor="text1"/>
          <w:sz w:val="24"/>
        </w:rPr>
        <w:t>评审有打分环节的，</w:t>
      </w:r>
      <w:r>
        <w:rPr>
          <w:bCs/>
          <w:color w:val="000000" w:themeColor="text1"/>
          <w:sz w:val="24"/>
        </w:rPr>
        <w:t>根据</w:t>
      </w:r>
      <w:r>
        <w:rPr>
          <w:rFonts w:hint="eastAsia"/>
          <w:bCs/>
          <w:color w:val="000000" w:themeColor="text1"/>
          <w:sz w:val="24"/>
        </w:rPr>
        <w:t>单一</w:t>
      </w:r>
      <w:r>
        <w:rPr>
          <w:bCs/>
          <w:color w:val="000000" w:themeColor="text1"/>
          <w:sz w:val="24"/>
        </w:rPr>
        <w:t>评委</w:t>
      </w:r>
      <w:r>
        <w:rPr>
          <w:rFonts w:hint="eastAsia"/>
          <w:bCs/>
          <w:color w:val="000000" w:themeColor="text1"/>
          <w:sz w:val="24"/>
        </w:rPr>
        <w:t>对所有通过初步评审的竞商人综合</w:t>
      </w:r>
      <w:r>
        <w:rPr>
          <w:bCs/>
          <w:color w:val="000000" w:themeColor="text1"/>
          <w:sz w:val="24"/>
        </w:rPr>
        <w:t>评分后</w:t>
      </w:r>
      <w:r>
        <w:rPr>
          <w:rFonts w:hint="eastAsia"/>
          <w:bCs/>
          <w:color w:val="000000" w:themeColor="text1"/>
          <w:sz w:val="24"/>
        </w:rPr>
        <w:t>，采用均值计分法来计算排名，统计时按所有评委对某一竞商人评审得分的算术平均值由高到低排序，得分最高者推选为第一中商候选人,依次排序。</w:t>
      </w:r>
    </w:p>
    <w:p w14:paraId="7F973BDF">
      <w:pPr>
        <w:spacing w:line="500" w:lineRule="exact"/>
        <w:ind w:firstLine="480" w:firstLineChars="200"/>
        <w:rPr>
          <w:bCs/>
          <w:color w:val="000000" w:themeColor="text1"/>
        </w:rPr>
      </w:pPr>
      <w:r>
        <w:rPr>
          <w:bCs/>
          <w:color w:val="000000" w:themeColor="text1"/>
        </w:rPr>
        <w:t xml:space="preserve">1. </w:t>
      </w:r>
      <w:r>
        <w:rPr>
          <w:rFonts w:hint="eastAsia"/>
          <w:bCs/>
          <w:color w:val="000000" w:themeColor="text1"/>
        </w:rPr>
        <w:t>经符合性审查和资格审查合格，参与报价的竞商人</w:t>
      </w:r>
      <w:r>
        <w:rPr>
          <w:bCs/>
          <w:color w:val="000000" w:themeColor="text1"/>
        </w:rPr>
        <w:t>3</w:t>
      </w:r>
      <w:r>
        <w:rPr>
          <w:rFonts w:hint="eastAsia"/>
          <w:bCs/>
          <w:color w:val="000000" w:themeColor="text1"/>
        </w:rPr>
        <w:t>家及以上，按本评审细则中规定的综合评审法进行评审；</w:t>
      </w:r>
      <w:r>
        <w:rPr>
          <w:bCs/>
          <w:color w:val="000000" w:themeColor="text1"/>
        </w:rPr>
        <w:t xml:space="preserve"> </w:t>
      </w:r>
    </w:p>
    <w:p w14:paraId="298DD9C7">
      <w:pPr>
        <w:pStyle w:val="63"/>
        <w:ind w:firstLine="420"/>
        <w:rPr>
          <w:color w:val="000000" w:themeColor="text1"/>
        </w:rPr>
      </w:pPr>
    </w:p>
    <w:p w14:paraId="35A6B16C">
      <w:pPr>
        <w:pStyle w:val="21"/>
        <w:snapToGrid w:val="0"/>
        <w:spacing w:before="50" w:afterLines="50"/>
        <w:ind w:firstLine="480" w:firstLineChars="200"/>
        <w:jc w:val="left"/>
        <w:rPr>
          <w:bCs/>
          <w:color w:val="000000" w:themeColor="text1"/>
          <w:sz w:val="24"/>
          <w:szCs w:val="24"/>
        </w:rPr>
      </w:pPr>
      <w:r>
        <w:rPr>
          <w:bCs/>
          <w:color w:val="000000" w:themeColor="text1"/>
          <w:sz w:val="24"/>
          <w:szCs w:val="24"/>
        </w:rPr>
        <w:t>根据竞商文件竞商人须知的有关规定，评审将按以下步骤进行：</w:t>
      </w:r>
    </w:p>
    <w:p w14:paraId="381A1AF1">
      <w:pPr>
        <w:numPr>
          <w:ilvl w:val="0"/>
          <w:numId w:val="17"/>
        </w:numPr>
        <w:tabs>
          <w:tab w:val="left" w:pos="900"/>
          <w:tab w:val="clear" w:pos="1050"/>
        </w:tabs>
        <w:snapToGrid w:val="0"/>
        <w:spacing w:afterLines="50" w:line="360" w:lineRule="auto"/>
        <w:ind w:left="900"/>
        <w:rPr>
          <w:bCs/>
          <w:color w:val="000000" w:themeColor="text1"/>
        </w:rPr>
      </w:pPr>
      <w:r>
        <w:rPr>
          <w:bCs/>
          <w:color w:val="000000" w:themeColor="text1"/>
        </w:rPr>
        <w:t>初步评审。以招商文件竞商人须知第</w:t>
      </w:r>
      <w:r>
        <w:rPr>
          <w:rFonts w:hint="eastAsia"/>
          <w:bCs/>
          <w:color w:val="000000" w:themeColor="text1"/>
        </w:rPr>
        <w:t>22.1</w:t>
      </w:r>
      <w:r>
        <w:rPr>
          <w:bCs/>
          <w:color w:val="000000" w:themeColor="text1"/>
        </w:rPr>
        <w:t>条的规定为依据，首先对竞商人递交的竞商文件进行初步评审，确认各竞商文件是否完全符合招商文件的有关要求，判定竞商文件的有效性。只有完全通过这项检查，才可进入下阶段</w:t>
      </w:r>
      <w:r>
        <w:rPr>
          <w:rFonts w:hint="eastAsia"/>
          <w:bCs/>
          <w:color w:val="000000" w:themeColor="text1"/>
        </w:rPr>
        <w:t>详细评审</w:t>
      </w:r>
      <w:r>
        <w:rPr>
          <w:bCs/>
          <w:color w:val="000000" w:themeColor="text1"/>
        </w:rPr>
        <w:t>。</w:t>
      </w:r>
    </w:p>
    <w:p w14:paraId="758FB695">
      <w:pPr>
        <w:numPr>
          <w:ilvl w:val="0"/>
          <w:numId w:val="17"/>
        </w:numPr>
        <w:tabs>
          <w:tab w:val="left" w:pos="900"/>
          <w:tab w:val="clear" w:pos="1050"/>
        </w:tabs>
        <w:snapToGrid w:val="0"/>
        <w:spacing w:afterLines="50" w:line="360" w:lineRule="auto"/>
        <w:ind w:left="900"/>
        <w:rPr>
          <w:bCs/>
          <w:color w:val="000000" w:themeColor="text1"/>
        </w:rPr>
      </w:pPr>
      <w:r>
        <w:rPr>
          <w:bCs/>
          <w:color w:val="000000" w:themeColor="text1"/>
        </w:rPr>
        <w:t>详细评审。所有评委分别对竞商文件进行评分：针对竞商文件中的</w:t>
      </w:r>
      <w:bookmarkStart w:id="1079" w:name="OLE_LINK64"/>
      <w:bookmarkStart w:id="1080" w:name="OLE_LINK65"/>
      <w:bookmarkStart w:id="1081" w:name="OLE_LINK23"/>
      <w:r>
        <w:rPr>
          <w:rFonts w:hint="eastAsia"/>
          <w:bCs/>
          <w:color w:val="000000" w:themeColor="text1"/>
        </w:rPr>
        <w:t>企业资质财务状况、商务条件报价、品牌规模、经营情况、经营方案、安全管理体系</w:t>
      </w:r>
      <w:bookmarkEnd w:id="1079"/>
      <w:bookmarkEnd w:id="1080"/>
      <w:r>
        <w:rPr>
          <w:rFonts w:hint="eastAsia"/>
          <w:bCs/>
          <w:color w:val="000000" w:themeColor="text1"/>
        </w:rPr>
        <w:t>及其他加减分</w:t>
      </w:r>
      <w:bookmarkEnd w:id="1081"/>
      <w:r>
        <w:rPr>
          <w:bCs/>
          <w:color w:val="000000" w:themeColor="text1"/>
        </w:rPr>
        <w:t>进行。</w:t>
      </w:r>
      <w:r>
        <w:rPr>
          <w:rFonts w:hint="eastAsia"/>
          <w:bCs/>
          <w:color w:val="000000" w:themeColor="text1"/>
        </w:rPr>
        <w:t>（详见评审分值构成表）。</w:t>
      </w:r>
    </w:p>
    <w:p w14:paraId="71BF1A46">
      <w:pPr>
        <w:pStyle w:val="63"/>
        <w:spacing w:line="360" w:lineRule="auto"/>
        <w:ind w:firstLine="420"/>
        <w:rPr>
          <w:rFonts w:ascii="Times New Roman"/>
          <w:bCs/>
          <w:color w:val="000000" w:themeColor="text1"/>
          <w:sz w:val="24"/>
          <w:szCs w:val="24"/>
        </w:rPr>
      </w:pPr>
      <w:r>
        <w:rPr>
          <w:rFonts w:hint="eastAsia"/>
        </w:rPr>
        <w:t xml:space="preserve">    </w:t>
      </w:r>
      <w:r>
        <w:rPr>
          <w:rFonts w:hint="eastAsia" w:ascii="Times New Roman"/>
          <w:bCs/>
          <w:color w:val="000000" w:themeColor="text1"/>
          <w:sz w:val="24"/>
          <w:szCs w:val="24"/>
        </w:rPr>
        <w:t xml:space="preserve"> 如两家或以上竞商人综合评分出现并列，则评审小组依次按竞商人以商务条件报价、企业资质财务状况、品牌规模、经营情况、运营方案、形象方案、安全管理体系的分数依序由高到低排序，直至决定该项目竟商人排名顺序。若都相同则由评审小组举手表决，来决定该项目的候选中商人的排名顺序。</w:t>
      </w:r>
    </w:p>
    <w:p w14:paraId="3CD27F78">
      <w:pPr>
        <w:numPr>
          <w:ilvl w:val="0"/>
          <w:numId w:val="17"/>
        </w:numPr>
        <w:tabs>
          <w:tab w:val="left" w:pos="900"/>
          <w:tab w:val="clear" w:pos="1050"/>
        </w:tabs>
        <w:snapToGrid w:val="0"/>
        <w:spacing w:afterLines="50" w:line="360" w:lineRule="auto"/>
        <w:ind w:left="900"/>
        <w:rPr>
          <w:bCs/>
          <w:color w:val="000000" w:themeColor="text1"/>
        </w:rPr>
      </w:pPr>
      <w:r>
        <w:rPr>
          <w:bCs/>
          <w:color w:val="000000" w:themeColor="text1"/>
        </w:rPr>
        <w:t>编制评审报告。</w:t>
      </w:r>
      <w:r>
        <w:rPr>
          <w:rFonts w:hint="eastAsia"/>
          <w:bCs/>
          <w:color w:val="000000" w:themeColor="text1"/>
        </w:rPr>
        <w:t>评审小组</w:t>
      </w:r>
      <w:r>
        <w:rPr>
          <w:bCs/>
          <w:color w:val="000000" w:themeColor="text1"/>
        </w:rPr>
        <w:t>在汇总所有评委的讨论意见和评分结果基础上编制评审报告，对各竞商人提出评审意见，推荐</w:t>
      </w:r>
      <w:r>
        <w:rPr>
          <w:rFonts w:hint="eastAsia"/>
          <w:bCs/>
          <w:color w:val="000000" w:themeColor="text1"/>
        </w:rPr>
        <w:t>候选中商人</w:t>
      </w:r>
      <w:r>
        <w:rPr>
          <w:bCs/>
          <w:color w:val="000000" w:themeColor="text1"/>
        </w:rPr>
        <w:t>。评审报告由全体评委签字确认。</w:t>
      </w:r>
    </w:p>
    <w:p w14:paraId="04DC010D">
      <w:pPr>
        <w:pStyle w:val="21"/>
        <w:snapToGrid w:val="0"/>
        <w:spacing w:before="50" w:afterLines="50" w:line="360" w:lineRule="auto"/>
        <w:ind w:leftChars="0" w:firstLine="480"/>
        <w:jc w:val="left"/>
        <w:rPr>
          <w:bCs/>
          <w:color w:val="000000" w:themeColor="text1"/>
          <w:sz w:val="24"/>
          <w:szCs w:val="24"/>
        </w:rPr>
      </w:pPr>
      <w:bookmarkStart w:id="1082" w:name="OLE_LINK30"/>
      <w:bookmarkStart w:id="1083" w:name="OLE_LINK31"/>
      <w:r>
        <w:rPr>
          <w:bCs/>
          <w:color w:val="000000" w:themeColor="text1"/>
          <w:sz w:val="24"/>
          <w:szCs w:val="24"/>
        </w:rPr>
        <w:t>2</w:t>
      </w:r>
      <w:r>
        <w:rPr>
          <w:rFonts w:hint="eastAsia"/>
          <w:bCs/>
          <w:color w:val="000000" w:themeColor="text1"/>
          <w:sz w:val="24"/>
          <w:szCs w:val="24"/>
        </w:rPr>
        <w:t>．</w:t>
      </w:r>
      <w:bookmarkStart w:id="1084" w:name="OLE_LINK42"/>
      <w:r>
        <w:rPr>
          <w:rFonts w:hint="eastAsia"/>
          <w:bCs/>
          <w:color w:val="000000" w:themeColor="text1"/>
          <w:sz w:val="24"/>
          <w:szCs w:val="24"/>
        </w:rPr>
        <w:t>经符合性审查和资格审查合格，</w:t>
      </w:r>
      <w:bookmarkEnd w:id="1084"/>
      <w:r>
        <w:rPr>
          <w:rFonts w:hint="eastAsia"/>
          <w:bCs/>
          <w:color w:val="000000" w:themeColor="text1"/>
          <w:sz w:val="24"/>
          <w:szCs w:val="24"/>
        </w:rPr>
        <w:t>实际参与竞商人</w:t>
      </w:r>
      <w:r>
        <w:rPr>
          <w:bCs/>
          <w:color w:val="000000" w:themeColor="text1"/>
          <w:sz w:val="24"/>
          <w:szCs w:val="24"/>
        </w:rPr>
        <w:t>2</w:t>
      </w:r>
      <w:r>
        <w:rPr>
          <w:rFonts w:hint="eastAsia"/>
          <w:bCs/>
          <w:color w:val="000000" w:themeColor="text1"/>
          <w:sz w:val="24"/>
          <w:szCs w:val="24"/>
        </w:rPr>
        <w:t>家时，采用“三轮竞价法”进行竞价评审。</w:t>
      </w:r>
    </w:p>
    <w:p w14:paraId="5268385A">
      <w:pPr>
        <w:pStyle w:val="21"/>
        <w:snapToGrid w:val="0"/>
        <w:spacing w:before="50" w:afterLines="50" w:line="360" w:lineRule="auto"/>
        <w:ind w:leftChars="0" w:firstLine="480"/>
        <w:jc w:val="left"/>
        <w:rPr>
          <w:bCs/>
          <w:color w:val="000000" w:themeColor="text1"/>
          <w:sz w:val="24"/>
          <w:szCs w:val="24"/>
        </w:rPr>
      </w:pPr>
      <w:r>
        <w:rPr>
          <w:rFonts w:hint="eastAsia"/>
          <w:bCs/>
          <w:color w:val="000000" w:themeColor="text1"/>
          <w:sz w:val="24"/>
          <w:szCs w:val="24"/>
        </w:rPr>
        <w:t>第一轮竞价在竞商文件中提交,第二轮竞价由竞商人现场竞价，在提交的第一轮其他商务条件不变的前提下，对综合服务费（综合服务费单价×面积×365）进行第二轮报价，加价幅度为</w:t>
      </w:r>
      <w:r>
        <w:rPr>
          <w:rFonts w:hint="eastAsia"/>
          <w:bCs/>
          <w:color w:val="000000" w:themeColor="text1"/>
          <w:sz w:val="24"/>
          <w:szCs w:val="24"/>
          <w:lang w:val="en-US" w:eastAsia="zh-CN"/>
        </w:rPr>
        <w:t>10000</w:t>
      </w:r>
      <w:r>
        <w:rPr>
          <w:rFonts w:hint="eastAsia"/>
          <w:bCs/>
          <w:color w:val="000000" w:themeColor="text1"/>
          <w:sz w:val="24"/>
          <w:szCs w:val="24"/>
        </w:rPr>
        <w:t>元的整数倍,当场唱标后,在第二轮报价基础上,进行第三轮竞价,综合计算三年合同期价高者(根据综合服务费、递增比例、装修免租期因素)推荐为候选中商人,同一包件如两家竞商人第三轮竞价相同，则评审小组依次按竞商人以商务条件报价、企业资质财务状况、品牌规模、经营情况、运营方案、形象方案、安全管理体系分数依序由高到低排序，直至决定该项目竟商人排名顺序。若都相同则由评审小组举手表决，来决定该项目的候选中商人的排名顺序。每轮竞价时长为10分钟。</w:t>
      </w:r>
    </w:p>
    <w:bookmarkEnd w:id="1082"/>
    <w:bookmarkEnd w:id="1083"/>
    <w:p w14:paraId="2FBF2C18">
      <w:pPr>
        <w:pStyle w:val="21"/>
        <w:snapToGrid w:val="0"/>
        <w:spacing w:before="50" w:afterLines="50" w:line="360" w:lineRule="auto"/>
        <w:ind w:left="0" w:leftChars="0" w:firstLine="480" w:firstLineChars="200"/>
        <w:jc w:val="left"/>
        <w:rPr>
          <w:bCs/>
          <w:color w:val="000000" w:themeColor="text1"/>
          <w:sz w:val="24"/>
          <w:szCs w:val="24"/>
        </w:rPr>
      </w:pPr>
      <w:r>
        <w:rPr>
          <w:bCs/>
          <w:color w:val="000000" w:themeColor="text1"/>
          <w:sz w:val="24"/>
          <w:szCs w:val="24"/>
        </w:rPr>
        <w:t>3.</w:t>
      </w:r>
      <w:r>
        <w:rPr>
          <w:rFonts w:hint="eastAsia"/>
          <w:bCs/>
          <w:color w:val="000000" w:themeColor="text1"/>
          <w:sz w:val="24"/>
          <w:szCs w:val="24"/>
        </w:rPr>
        <w:t>实际参与竞商人仅为</w:t>
      </w:r>
      <w:r>
        <w:rPr>
          <w:bCs/>
          <w:color w:val="000000" w:themeColor="text1"/>
          <w:sz w:val="24"/>
          <w:szCs w:val="24"/>
        </w:rPr>
        <w:t>1</w:t>
      </w:r>
      <w:r>
        <w:rPr>
          <w:rFonts w:hint="eastAsia"/>
          <w:bCs/>
          <w:color w:val="000000" w:themeColor="text1"/>
          <w:sz w:val="24"/>
          <w:szCs w:val="24"/>
        </w:rPr>
        <w:t>家时转为商务洽谈。</w:t>
      </w:r>
    </w:p>
    <w:p w14:paraId="6B17BBA2">
      <w:pPr>
        <w:pStyle w:val="21"/>
        <w:snapToGrid w:val="0"/>
        <w:spacing w:before="50" w:afterLines="50" w:line="360" w:lineRule="auto"/>
        <w:ind w:left="0" w:leftChars="0" w:firstLine="480" w:firstLineChars="200"/>
        <w:jc w:val="left"/>
        <w:rPr>
          <w:bCs/>
          <w:color w:val="000000" w:themeColor="text1"/>
          <w:sz w:val="24"/>
          <w:szCs w:val="24"/>
        </w:rPr>
      </w:pPr>
      <w:r>
        <w:rPr>
          <w:bCs/>
          <w:color w:val="000000" w:themeColor="text1"/>
          <w:sz w:val="24"/>
          <w:szCs w:val="24"/>
        </w:rPr>
        <w:t>1</w:t>
      </w:r>
      <w:r>
        <w:rPr>
          <w:rFonts w:hint="eastAsia"/>
          <w:bCs/>
          <w:color w:val="000000" w:themeColor="text1"/>
          <w:sz w:val="24"/>
          <w:szCs w:val="24"/>
        </w:rPr>
        <w:t>）经符合性审查和资格审查合格，参与竞商人仅为</w:t>
      </w:r>
      <w:r>
        <w:rPr>
          <w:bCs/>
          <w:color w:val="000000" w:themeColor="text1"/>
          <w:sz w:val="24"/>
          <w:szCs w:val="24"/>
        </w:rPr>
        <w:t>1</w:t>
      </w:r>
      <w:r>
        <w:rPr>
          <w:rFonts w:hint="eastAsia"/>
          <w:bCs/>
          <w:color w:val="000000" w:themeColor="text1"/>
          <w:sz w:val="24"/>
          <w:szCs w:val="24"/>
        </w:rPr>
        <w:t>家时，评审组与竞商人进行商务洽谈，根据洽谈结果</w:t>
      </w:r>
      <w:r>
        <w:rPr>
          <w:bCs/>
          <w:color w:val="000000" w:themeColor="text1"/>
          <w:sz w:val="24"/>
          <w:szCs w:val="24"/>
        </w:rPr>
        <w:t>,</w:t>
      </w:r>
      <w:r>
        <w:rPr>
          <w:rFonts w:hint="eastAsia"/>
          <w:bCs/>
          <w:color w:val="000000" w:themeColor="text1"/>
          <w:sz w:val="24"/>
          <w:szCs w:val="24"/>
        </w:rPr>
        <w:t>由竞商人再填报一次竞价表（</w:t>
      </w:r>
      <w:r>
        <w:rPr>
          <w:bCs/>
          <w:color w:val="000000" w:themeColor="text1"/>
          <w:sz w:val="24"/>
          <w:szCs w:val="24"/>
        </w:rPr>
        <w:t>(</w:t>
      </w:r>
      <w:r>
        <w:rPr>
          <w:rFonts w:hint="eastAsia"/>
          <w:bCs/>
          <w:color w:val="000000" w:themeColor="text1"/>
          <w:sz w:val="24"/>
          <w:szCs w:val="24"/>
        </w:rPr>
        <w:t>法定代表或授权人签字），与招商人发布的商务条件不符视为无效，时长为</w:t>
      </w:r>
      <w:r>
        <w:rPr>
          <w:bCs/>
          <w:color w:val="000000" w:themeColor="text1"/>
          <w:sz w:val="24"/>
          <w:szCs w:val="24"/>
        </w:rPr>
        <w:t>10</w:t>
      </w:r>
      <w:r>
        <w:rPr>
          <w:rFonts w:hint="eastAsia"/>
          <w:bCs/>
          <w:color w:val="000000" w:themeColor="text1"/>
          <w:sz w:val="24"/>
          <w:szCs w:val="24"/>
        </w:rPr>
        <w:t>分钟，报价低于底价为无效。</w:t>
      </w:r>
    </w:p>
    <w:p w14:paraId="5B1B25A8">
      <w:pPr>
        <w:pStyle w:val="21"/>
        <w:snapToGrid w:val="0"/>
        <w:spacing w:before="50" w:afterLines="50" w:line="360" w:lineRule="auto"/>
        <w:ind w:left="0" w:leftChars="0" w:firstLine="480" w:firstLineChars="200"/>
        <w:jc w:val="left"/>
        <w:rPr>
          <w:bCs/>
          <w:color w:val="000000" w:themeColor="text1"/>
          <w:sz w:val="24"/>
          <w:szCs w:val="24"/>
        </w:rPr>
      </w:pPr>
      <w:r>
        <w:rPr>
          <w:bCs/>
          <w:color w:val="000000" w:themeColor="text1"/>
          <w:sz w:val="24"/>
          <w:szCs w:val="24"/>
        </w:rPr>
        <w:t>2</w:t>
      </w:r>
      <w:r>
        <w:rPr>
          <w:rFonts w:hint="eastAsia"/>
          <w:bCs/>
          <w:color w:val="000000" w:themeColor="text1"/>
          <w:sz w:val="24"/>
          <w:szCs w:val="24"/>
        </w:rPr>
        <w:t>）编制评审报告。评审小组在汇总所有评委的讨论意见和结果基础上编制评审报告，对竞商人提出评审意见，推荐候选中商人。评审报告由全体评委签字确认。</w:t>
      </w:r>
    </w:p>
    <w:p w14:paraId="10432B77">
      <w:pPr>
        <w:pStyle w:val="21"/>
        <w:snapToGrid w:val="0"/>
        <w:spacing w:before="50" w:afterLines="50" w:line="360" w:lineRule="auto"/>
        <w:ind w:firstLine="480" w:firstLineChars="200"/>
        <w:jc w:val="left"/>
        <w:rPr>
          <w:rFonts w:ascii="宋体" w:hAnsi="宋体"/>
          <w:bCs/>
          <w:color w:val="000000" w:themeColor="text1"/>
          <w:sz w:val="24"/>
        </w:rPr>
      </w:pPr>
      <w:r>
        <w:rPr>
          <w:rFonts w:ascii="宋体" w:hAnsi="宋体"/>
          <w:bCs/>
          <w:color w:val="000000" w:themeColor="text1"/>
          <w:sz w:val="24"/>
        </w:rPr>
        <w:t xml:space="preserve">评委负责对竞商文件进行审核和分析后进行评分，分值构成表如下： </w:t>
      </w:r>
    </w:p>
    <w:p w14:paraId="560A5E37">
      <w:pPr>
        <w:snapToGrid w:val="0"/>
        <w:spacing w:after="50" w:line="360" w:lineRule="auto"/>
        <w:jc w:val="center"/>
        <w:rPr>
          <w:rFonts w:hint="eastAsia" w:ascii="宋体" w:hAnsi="宋体"/>
          <w:b/>
          <w:bCs/>
          <w:color w:val="000000" w:themeColor="text1"/>
        </w:rPr>
      </w:pPr>
    </w:p>
    <w:p w14:paraId="46C7AF09">
      <w:pPr>
        <w:pStyle w:val="63"/>
        <w:ind w:firstLine="420"/>
        <w:rPr>
          <w:rFonts w:hint="eastAsia"/>
        </w:rPr>
      </w:pPr>
    </w:p>
    <w:p w14:paraId="033DC34F">
      <w:pPr>
        <w:rPr>
          <w:rFonts w:hint="eastAsia"/>
        </w:rPr>
      </w:pPr>
    </w:p>
    <w:p w14:paraId="2C93AFD4">
      <w:pPr>
        <w:rPr>
          <w:rFonts w:hint="eastAsia"/>
        </w:rPr>
      </w:pPr>
    </w:p>
    <w:p w14:paraId="56DD66ED">
      <w:pPr>
        <w:rPr>
          <w:rFonts w:hint="eastAsia"/>
        </w:rPr>
      </w:pPr>
    </w:p>
    <w:p w14:paraId="614A46C9">
      <w:pPr>
        <w:pStyle w:val="63"/>
        <w:ind w:firstLine="420"/>
      </w:pPr>
    </w:p>
    <w:tbl>
      <w:tblPr>
        <w:tblStyle w:val="52"/>
        <w:tblW w:w="10059" w:type="dxa"/>
        <w:tblInd w:w="275" w:type="dxa"/>
        <w:tblLayout w:type="fixed"/>
        <w:tblCellMar>
          <w:top w:w="0" w:type="dxa"/>
          <w:left w:w="108" w:type="dxa"/>
          <w:bottom w:w="0" w:type="dxa"/>
          <w:right w:w="108" w:type="dxa"/>
        </w:tblCellMar>
      </w:tblPr>
      <w:tblGrid>
        <w:gridCol w:w="657"/>
        <w:gridCol w:w="958"/>
        <w:gridCol w:w="562"/>
        <w:gridCol w:w="852"/>
        <w:gridCol w:w="6001"/>
        <w:gridCol w:w="1029"/>
      </w:tblGrid>
      <w:tr w14:paraId="7FA0F29D">
        <w:tblPrEx>
          <w:tblCellMar>
            <w:top w:w="0" w:type="dxa"/>
            <w:left w:w="108" w:type="dxa"/>
            <w:bottom w:w="0" w:type="dxa"/>
            <w:right w:w="108" w:type="dxa"/>
          </w:tblCellMar>
        </w:tblPrEx>
        <w:trPr>
          <w:trHeight w:val="389" w:hRule="atLeast"/>
        </w:trPr>
        <w:tc>
          <w:tcPr>
            <w:tcW w:w="657" w:type="dxa"/>
            <w:tcBorders>
              <w:top w:val="single" w:color="auto" w:sz="4" w:space="0"/>
              <w:left w:val="single" w:color="auto" w:sz="4" w:space="0"/>
              <w:bottom w:val="single" w:color="auto" w:sz="4" w:space="0"/>
              <w:right w:val="single" w:color="auto" w:sz="4" w:space="0"/>
            </w:tcBorders>
            <w:noWrap w:val="0"/>
            <w:vAlign w:val="center"/>
          </w:tcPr>
          <w:p w14:paraId="5BDE2CCA">
            <w:pPr>
              <w:spacing w:line="240" w:lineRule="exact"/>
              <w:jc w:val="center"/>
              <w:rPr>
                <w:rFonts w:hAnsi="仿宋_GB2312" w:cs="仿宋_GB2312"/>
                <w:b/>
                <w:bCs/>
                <w:sz w:val="24"/>
              </w:rPr>
            </w:pPr>
            <w:bookmarkStart w:id="1085" w:name="OLE_LINK21"/>
            <w:bookmarkStart w:id="1086" w:name="OLE_LINK22"/>
            <w:r>
              <w:rPr>
                <w:rFonts w:hint="eastAsia" w:hAnsi="仿宋_GB2312" w:cs="仿宋_GB2312"/>
                <w:b/>
                <w:bCs/>
                <w:sz w:val="24"/>
              </w:rPr>
              <w:t>序号</w:t>
            </w:r>
          </w:p>
        </w:tc>
        <w:tc>
          <w:tcPr>
            <w:tcW w:w="958" w:type="dxa"/>
            <w:tcBorders>
              <w:top w:val="single" w:color="auto" w:sz="4" w:space="0"/>
              <w:left w:val="nil"/>
              <w:bottom w:val="single" w:color="auto" w:sz="4" w:space="0"/>
              <w:right w:val="single" w:color="auto" w:sz="4" w:space="0"/>
            </w:tcBorders>
            <w:noWrap w:val="0"/>
            <w:vAlign w:val="center"/>
          </w:tcPr>
          <w:p w14:paraId="355171F1">
            <w:pPr>
              <w:spacing w:line="240" w:lineRule="exact"/>
              <w:jc w:val="center"/>
              <w:rPr>
                <w:rFonts w:hAnsi="仿宋_GB2312" w:cs="仿宋_GB2312"/>
                <w:b/>
                <w:bCs/>
                <w:sz w:val="24"/>
              </w:rPr>
            </w:pPr>
            <w:r>
              <w:rPr>
                <w:rFonts w:hint="eastAsia" w:hAnsi="仿宋_GB2312" w:cs="仿宋_GB2312"/>
                <w:b/>
                <w:bCs/>
                <w:sz w:val="24"/>
              </w:rPr>
              <w:t>评分 项目</w:t>
            </w:r>
          </w:p>
        </w:tc>
        <w:tc>
          <w:tcPr>
            <w:tcW w:w="562" w:type="dxa"/>
            <w:tcBorders>
              <w:top w:val="single" w:color="auto" w:sz="4" w:space="0"/>
              <w:left w:val="nil"/>
              <w:bottom w:val="single" w:color="auto" w:sz="4" w:space="0"/>
              <w:right w:val="single" w:color="auto" w:sz="4" w:space="0"/>
            </w:tcBorders>
            <w:noWrap w:val="0"/>
            <w:vAlign w:val="center"/>
          </w:tcPr>
          <w:p w14:paraId="2E4457F5">
            <w:pPr>
              <w:spacing w:line="240" w:lineRule="exact"/>
              <w:jc w:val="center"/>
              <w:rPr>
                <w:rFonts w:hAnsi="仿宋_GB2312" w:cs="仿宋_GB2312"/>
                <w:b/>
                <w:bCs/>
                <w:sz w:val="24"/>
              </w:rPr>
            </w:pPr>
            <w:r>
              <w:rPr>
                <w:rFonts w:hint="eastAsia" w:hAnsi="仿宋_GB2312" w:cs="仿宋_GB2312"/>
                <w:b/>
                <w:bCs/>
                <w:sz w:val="24"/>
              </w:rPr>
              <w:t>总分</w:t>
            </w:r>
          </w:p>
        </w:tc>
        <w:tc>
          <w:tcPr>
            <w:tcW w:w="852" w:type="dxa"/>
            <w:tcBorders>
              <w:top w:val="single" w:color="auto" w:sz="4" w:space="0"/>
              <w:left w:val="nil"/>
              <w:bottom w:val="single" w:color="auto" w:sz="4" w:space="0"/>
              <w:right w:val="single" w:color="auto" w:sz="4" w:space="0"/>
            </w:tcBorders>
            <w:noWrap w:val="0"/>
            <w:vAlign w:val="center"/>
          </w:tcPr>
          <w:p w14:paraId="6719BA93">
            <w:pPr>
              <w:spacing w:line="240" w:lineRule="exact"/>
              <w:jc w:val="center"/>
              <w:rPr>
                <w:rFonts w:hAnsi="仿宋_GB2312" w:cs="仿宋_GB2312"/>
                <w:b/>
                <w:bCs/>
                <w:sz w:val="24"/>
              </w:rPr>
            </w:pPr>
            <w:r>
              <w:rPr>
                <w:rFonts w:hint="eastAsia" w:hAnsi="仿宋_GB2312" w:cs="仿宋_GB2312"/>
                <w:b/>
                <w:bCs/>
                <w:sz w:val="24"/>
              </w:rPr>
              <w:t>分值比例</w:t>
            </w:r>
          </w:p>
        </w:tc>
        <w:tc>
          <w:tcPr>
            <w:tcW w:w="6001" w:type="dxa"/>
            <w:tcBorders>
              <w:top w:val="single" w:color="auto" w:sz="4" w:space="0"/>
              <w:left w:val="nil"/>
              <w:bottom w:val="single" w:color="auto" w:sz="4" w:space="0"/>
              <w:right w:val="single" w:color="auto" w:sz="4" w:space="0"/>
            </w:tcBorders>
            <w:noWrap w:val="0"/>
            <w:vAlign w:val="center"/>
          </w:tcPr>
          <w:p w14:paraId="34B514C7">
            <w:pPr>
              <w:spacing w:line="240" w:lineRule="exact"/>
              <w:jc w:val="center"/>
              <w:rPr>
                <w:rFonts w:hAnsi="仿宋_GB2312" w:cs="仿宋_GB2312"/>
                <w:b/>
                <w:bCs/>
                <w:sz w:val="24"/>
              </w:rPr>
            </w:pPr>
            <w:r>
              <w:rPr>
                <w:rFonts w:hint="eastAsia" w:hAnsi="仿宋_GB2312" w:cs="仿宋_GB2312"/>
                <w:b/>
                <w:bCs/>
                <w:sz w:val="24"/>
              </w:rPr>
              <w:t>评分细则</w:t>
            </w:r>
          </w:p>
        </w:tc>
        <w:tc>
          <w:tcPr>
            <w:tcW w:w="1029" w:type="dxa"/>
            <w:tcBorders>
              <w:top w:val="single" w:color="auto" w:sz="4" w:space="0"/>
              <w:left w:val="nil"/>
              <w:bottom w:val="single" w:color="auto" w:sz="4" w:space="0"/>
              <w:right w:val="single" w:color="auto" w:sz="4" w:space="0"/>
            </w:tcBorders>
            <w:noWrap w:val="0"/>
            <w:vAlign w:val="center"/>
          </w:tcPr>
          <w:p w14:paraId="5E0CFAD4">
            <w:pPr>
              <w:spacing w:line="240" w:lineRule="exact"/>
              <w:jc w:val="center"/>
              <w:rPr>
                <w:rFonts w:hAnsi="仿宋_GB2312" w:cs="仿宋_GB2312"/>
                <w:b/>
                <w:bCs/>
                <w:sz w:val="24"/>
              </w:rPr>
            </w:pPr>
            <w:r>
              <w:rPr>
                <w:rFonts w:hint="eastAsia" w:hAnsi="仿宋_GB2312" w:cs="仿宋_GB2312"/>
                <w:b/>
                <w:bCs/>
                <w:sz w:val="24"/>
              </w:rPr>
              <w:t>得分</w:t>
            </w:r>
          </w:p>
          <w:p w14:paraId="599B17EC">
            <w:pPr>
              <w:spacing w:line="240" w:lineRule="exact"/>
              <w:jc w:val="center"/>
              <w:rPr>
                <w:rFonts w:hAnsi="仿宋_GB2312" w:cs="仿宋_GB2312"/>
                <w:b/>
                <w:bCs/>
                <w:sz w:val="24"/>
              </w:rPr>
            </w:pPr>
            <w:r>
              <w:rPr>
                <w:rFonts w:hint="eastAsia" w:hAnsi="仿宋_GB2312" w:cs="仿宋_GB2312"/>
                <w:b/>
                <w:bCs/>
                <w:sz w:val="24"/>
              </w:rPr>
              <w:t>区间</w:t>
            </w:r>
          </w:p>
        </w:tc>
      </w:tr>
      <w:tr w14:paraId="76D7E5E0">
        <w:tblPrEx>
          <w:tblCellMar>
            <w:top w:w="0" w:type="dxa"/>
            <w:left w:w="108" w:type="dxa"/>
            <w:bottom w:w="0" w:type="dxa"/>
            <w:right w:w="108" w:type="dxa"/>
          </w:tblCellMar>
        </w:tblPrEx>
        <w:trPr>
          <w:trHeight w:val="929" w:hRule="atLeast"/>
        </w:trPr>
        <w:tc>
          <w:tcPr>
            <w:tcW w:w="657" w:type="dxa"/>
            <w:vMerge w:val="restart"/>
            <w:tcBorders>
              <w:top w:val="nil"/>
              <w:left w:val="single" w:color="auto" w:sz="4" w:space="0"/>
              <w:right w:val="single" w:color="auto" w:sz="4" w:space="0"/>
            </w:tcBorders>
            <w:noWrap w:val="0"/>
            <w:vAlign w:val="center"/>
          </w:tcPr>
          <w:p w14:paraId="049478A3">
            <w:pPr>
              <w:spacing w:line="240" w:lineRule="exact"/>
              <w:jc w:val="center"/>
              <w:rPr>
                <w:rFonts w:hAnsi="仿宋_GB2312" w:cs="仿宋_GB2312"/>
                <w:sz w:val="20"/>
                <w:szCs w:val="20"/>
              </w:rPr>
            </w:pPr>
            <w:r>
              <w:rPr>
                <w:rFonts w:hint="eastAsia" w:hAnsi="仿宋_GB2312" w:cs="仿宋_GB2312"/>
                <w:sz w:val="20"/>
                <w:szCs w:val="20"/>
              </w:rPr>
              <w:t>1</w:t>
            </w:r>
          </w:p>
        </w:tc>
        <w:tc>
          <w:tcPr>
            <w:tcW w:w="958" w:type="dxa"/>
            <w:vMerge w:val="restart"/>
            <w:tcBorders>
              <w:top w:val="nil"/>
              <w:left w:val="single" w:color="auto" w:sz="4" w:space="0"/>
              <w:right w:val="single" w:color="auto" w:sz="4" w:space="0"/>
            </w:tcBorders>
            <w:noWrap w:val="0"/>
            <w:vAlign w:val="center"/>
          </w:tcPr>
          <w:p w14:paraId="7B0FAA9C">
            <w:pPr>
              <w:spacing w:line="240" w:lineRule="exact"/>
              <w:jc w:val="center"/>
              <w:rPr>
                <w:rFonts w:hAnsi="仿宋_GB2312" w:cs="仿宋_GB2312"/>
                <w:sz w:val="20"/>
                <w:szCs w:val="20"/>
              </w:rPr>
            </w:pPr>
            <w:r>
              <w:rPr>
                <w:rFonts w:hint="eastAsia" w:hAnsi="仿宋_GB2312" w:cs="仿宋_GB2312"/>
                <w:sz w:val="20"/>
                <w:szCs w:val="20"/>
              </w:rPr>
              <w:t>企业资质、财务状况、资信评价等</w:t>
            </w:r>
          </w:p>
        </w:tc>
        <w:tc>
          <w:tcPr>
            <w:tcW w:w="562" w:type="dxa"/>
            <w:vMerge w:val="restart"/>
            <w:tcBorders>
              <w:top w:val="nil"/>
              <w:left w:val="single" w:color="auto" w:sz="4" w:space="0"/>
              <w:right w:val="single" w:color="auto" w:sz="4" w:space="0"/>
            </w:tcBorders>
            <w:noWrap w:val="0"/>
            <w:vAlign w:val="center"/>
          </w:tcPr>
          <w:p w14:paraId="31D060ED">
            <w:pPr>
              <w:spacing w:line="240" w:lineRule="exact"/>
              <w:jc w:val="center"/>
              <w:rPr>
                <w:rFonts w:hAnsi="仿宋_GB2312" w:cs="仿宋_GB2312"/>
                <w:b/>
                <w:bCs/>
                <w:sz w:val="20"/>
                <w:szCs w:val="20"/>
              </w:rPr>
            </w:pPr>
            <w:r>
              <w:rPr>
                <w:rFonts w:hint="eastAsia" w:hAnsi="仿宋_GB2312" w:cs="仿宋_GB2312"/>
                <w:b/>
                <w:bCs/>
                <w:sz w:val="20"/>
                <w:szCs w:val="20"/>
              </w:rPr>
              <w:t>11</w:t>
            </w:r>
          </w:p>
        </w:tc>
        <w:tc>
          <w:tcPr>
            <w:tcW w:w="852" w:type="dxa"/>
            <w:tcBorders>
              <w:top w:val="nil"/>
              <w:left w:val="nil"/>
              <w:bottom w:val="single" w:color="auto" w:sz="4" w:space="0"/>
              <w:right w:val="single" w:color="auto" w:sz="4" w:space="0"/>
            </w:tcBorders>
            <w:noWrap w:val="0"/>
            <w:vAlign w:val="center"/>
          </w:tcPr>
          <w:p w14:paraId="064993F1">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6001" w:type="dxa"/>
            <w:tcBorders>
              <w:top w:val="nil"/>
              <w:left w:val="nil"/>
              <w:bottom w:val="single" w:color="auto" w:sz="4" w:space="0"/>
              <w:right w:val="single" w:color="auto" w:sz="4" w:space="0"/>
            </w:tcBorders>
            <w:noWrap w:val="0"/>
            <w:vAlign w:val="center"/>
          </w:tcPr>
          <w:p w14:paraId="1F6113BA">
            <w:pPr>
              <w:spacing w:line="240" w:lineRule="exact"/>
              <w:rPr>
                <w:rFonts w:hAnsi="仿宋_GB2312" w:cs="仿宋_GB2312"/>
                <w:sz w:val="20"/>
                <w:szCs w:val="20"/>
              </w:rPr>
            </w:pPr>
            <w:r>
              <w:rPr>
                <w:rFonts w:hint="eastAsia" w:hAnsi="仿宋_GB2312" w:cs="仿宋_GB2312"/>
                <w:sz w:val="20"/>
                <w:szCs w:val="20"/>
              </w:rPr>
              <w:t>2024年</w:t>
            </w:r>
            <w:r>
              <w:rPr>
                <w:rFonts w:hint="eastAsia" w:hAnsi="仿宋_GB2312" w:cs="仿宋_GB2312"/>
                <w:sz w:val="20"/>
                <w:szCs w:val="20"/>
                <w:lang w:eastAsia="zh-CN"/>
              </w:rPr>
              <w:t>实缴</w:t>
            </w:r>
            <w:r>
              <w:rPr>
                <w:rFonts w:hint="eastAsia" w:hAnsi="仿宋_GB2312" w:cs="仿宋_GB2312"/>
                <w:sz w:val="20"/>
                <w:szCs w:val="20"/>
              </w:rPr>
              <w:t>资本或最新实</w:t>
            </w:r>
            <w:r>
              <w:rPr>
                <w:rFonts w:hint="eastAsia" w:hAnsi="仿宋_GB2312" w:cs="仿宋_GB2312"/>
                <w:sz w:val="20"/>
                <w:szCs w:val="20"/>
                <w:lang w:eastAsia="zh-CN"/>
              </w:rPr>
              <w:t>缴</w:t>
            </w:r>
            <w:r>
              <w:rPr>
                <w:rFonts w:hint="eastAsia" w:hAnsi="仿宋_GB2312" w:cs="仿宋_GB2312"/>
                <w:sz w:val="20"/>
                <w:szCs w:val="20"/>
              </w:rPr>
              <w:t>资本：</w:t>
            </w:r>
          </w:p>
          <w:p w14:paraId="6AE386B8">
            <w:pPr>
              <w:spacing w:line="240" w:lineRule="exact"/>
              <w:rPr>
                <w:rFonts w:hAnsi="仿宋_GB2312" w:cs="仿宋_GB2312"/>
                <w:sz w:val="20"/>
                <w:szCs w:val="20"/>
              </w:rPr>
            </w:pPr>
            <w:r>
              <w:rPr>
                <w:rFonts w:hint="eastAsia" w:hAnsi="仿宋_GB2312" w:cs="仿宋_GB2312"/>
                <w:sz w:val="20"/>
                <w:szCs w:val="20"/>
              </w:rPr>
              <w:t>小于300万元的不得分，300万元及以上500万元以下的得1分,500万元及以上的得2分；实缴资本以会计事务所出具的2023年审计报告，或由会计事务所或者审计事务所及其他具有验资资格的机构近五年出具的验资报告为准，否则不得分。</w:t>
            </w:r>
          </w:p>
        </w:tc>
        <w:tc>
          <w:tcPr>
            <w:tcW w:w="1029" w:type="dxa"/>
            <w:tcBorders>
              <w:top w:val="nil"/>
              <w:left w:val="nil"/>
              <w:bottom w:val="single" w:color="auto" w:sz="4" w:space="0"/>
              <w:right w:val="single" w:color="auto" w:sz="4" w:space="0"/>
            </w:tcBorders>
            <w:noWrap w:val="0"/>
            <w:vAlign w:val="center"/>
          </w:tcPr>
          <w:p w14:paraId="4BB04784">
            <w:pPr>
              <w:spacing w:line="240" w:lineRule="exact"/>
              <w:jc w:val="center"/>
              <w:rPr>
                <w:rFonts w:hAnsi="仿宋_GB2312" w:cs="仿宋_GB2312"/>
                <w:sz w:val="20"/>
                <w:szCs w:val="20"/>
              </w:rPr>
            </w:pPr>
            <w:r>
              <w:rPr>
                <w:rFonts w:hint="eastAsia" w:hAnsi="仿宋_GB2312" w:cs="仿宋_GB2312"/>
                <w:sz w:val="20"/>
                <w:szCs w:val="20"/>
              </w:rPr>
              <w:t>0-2</w:t>
            </w:r>
          </w:p>
        </w:tc>
      </w:tr>
      <w:tr w14:paraId="5D3C0E47">
        <w:tblPrEx>
          <w:tblCellMar>
            <w:top w:w="0" w:type="dxa"/>
            <w:left w:w="108" w:type="dxa"/>
            <w:bottom w:w="0" w:type="dxa"/>
            <w:right w:w="108" w:type="dxa"/>
          </w:tblCellMar>
        </w:tblPrEx>
        <w:trPr>
          <w:trHeight w:val="1115" w:hRule="atLeast"/>
        </w:trPr>
        <w:tc>
          <w:tcPr>
            <w:tcW w:w="657" w:type="dxa"/>
            <w:vMerge w:val="continue"/>
            <w:tcBorders>
              <w:left w:val="single" w:color="auto" w:sz="4" w:space="0"/>
              <w:right w:val="single" w:color="auto" w:sz="4" w:space="0"/>
            </w:tcBorders>
            <w:noWrap w:val="0"/>
            <w:vAlign w:val="center"/>
          </w:tcPr>
          <w:p w14:paraId="0352F9CD">
            <w:pPr>
              <w:spacing w:line="240" w:lineRule="exact"/>
              <w:rPr>
                <w:rFonts w:hAnsi="仿宋_GB2312" w:cs="仿宋_GB2312"/>
                <w:sz w:val="20"/>
                <w:szCs w:val="20"/>
              </w:rPr>
            </w:pPr>
          </w:p>
        </w:tc>
        <w:tc>
          <w:tcPr>
            <w:tcW w:w="958" w:type="dxa"/>
            <w:vMerge w:val="continue"/>
            <w:tcBorders>
              <w:left w:val="single" w:color="auto" w:sz="4" w:space="0"/>
              <w:right w:val="single" w:color="auto" w:sz="4" w:space="0"/>
            </w:tcBorders>
            <w:noWrap w:val="0"/>
            <w:vAlign w:val="center"/>
          </w:tcPr>
          <w:p w14:paraId="00C0B449">
            <w:pPr>
              <w:spacing w:line="240" w:lineRule="exact"/>
              <w:rPr>
                <w:rFonts w:hAnsi="仿宋_GB2312" w:cs="仿宋_GB2312"/>
                <w:sz w:val="20"/>
                <w:szCs w:val="20"/>
              </w:rPr>
            </w:pPr>
          </w:p>
        </w:tc>
        <w:tc>
          <w:tcPr>
            <w:tcW w:w="562" w:type="dxa"/>
            <w:vMerge w:val="continue"/>
            <w:tcBorders>
              <w:left w:val="single" w:color="auto" w:sz="4" w:space="0"/>
              <w:right w:val="single" w:color="auto" w:sz="4" w:space="0"/>
            </w:tcBorders>
            <w:noWrap w:val="0"/>
            <w:vAlign w:val="center"/>
          </w:tcPr>
          <w:p w14:paraId="7AA73CD0">
            <w:pPr>
              <w:spacing w:line="240" w:lineRule="exact"/>
              <w:rPr>
                <w:rFonts w:hAnsi="仿宋_GB2312" w:cs="仿宋_GB2312"/>
                <w:b/>
                <w:bCs/>
                <w:sz w:val="20"/>
                <w:szCs w:val="20"/>
              </w:rPr>
            </w:pPr>
          </w:p>
        </w:tc>
        <w:tc>
          <w:tcPr>
            <w:tcW w:w="852" w:type="dxa"/>
            <w:tcBorders>
              <w:top w:val="nil"/>
              <w:left w:val="nil"/>
              <w:bottom w:val="single" w:color="auto" w:sz="4" w:space="0"/>
              <w:right w:val="single" w:color="auto" w:sz="4" w:space="0"/>
            </w:tcBorders>
            <w:noWrap w:val="0"/>
            <w:vAlign w:val="center"/>
          </w:tcPr>
          <w:p w14:paraId="4B85E4CE">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6001" w:type="dxa"/>
            <w:tcBorders>
              <w:top w:val="nil"/>
              <w:left w:val="nil"/>
              <w:bottom w:val="single" w:color="auto" w:sz="4" w:space="0"/>
              <w:right w:val="single" w:color="auto" w:sz="4" w:space="0"/>
            </w:tcBorders>
            <w:noWrap w:val="0"/>
            <w:vAlign w:val="center"/>
          </w:tcPr>
          <w:p w14:paraId="4CF38480">
            <w:pPr>
              <w:spacing w:line="240" w:lineRule="exact"/>
              <w:rPr>
                <w:rFonts w:hAnsi="仿宋_GB2312" w:cs="仿宋_GB2312"/>
                <w:sz w:val="20"/>
                <w:szCs w:val="20"/>
              </w:rPr>
            </w:pPr>
            <w:r>
              <w:rPr>
                <w:rFonts w:hint="eastAsia" w:hAnsi="仿宋_GB2312" w:cs="仿宋_GB2312"/>
                <w:sz w:val="20"/>
                <w:szCs w:val="20"/>
              </w:rPr>
              <w:t>需提供社会保险缴费记录单，不提供的不得分；所提供的社会保险缴费记录单必须明确体现缴费人数，未明确体现缴费人数的不计算人数；社会缴费人数不包括劳务派遣人员。</w:t>
            </w:r>
          </w:p>
          <w:p w14:paraId="5E2488F6">
            <w:pPr>
              <w:spacing w:line="240" w:lineRule="exact"/>
              <w:rPr>
                <w:rFonts w:hAnsi="仿宋_GB2312" w:cs="仿宋_GB2312"/>
                <w:sz w:val="20"/>
                <w:szCs w:val="20"/>
              </w:rPr>
            </w:pPr>
            <w:r>
              <w:rPr>
                <w:rFonts w:hint="eastAsia" w:hAnsi="仿宋_GB2312" w:cs="仿宋_GB2312"/>
                <w:sz w:val="20"/>
                <w:szCs w:val="20"/>
              </w:rPr>
              <w:t>截至2025年</w:t>
            </w:r>
            <w:r>
              <w:rPr>
                <w:rFonts w:hint="eastAsia" w:hAnsi="仿宋_GB2312" w:cs="仿宋_GB2312"/>
                <w:sz w:val="20"/>
                <w:szCs w:val="20"/>
                <w:lang w:val="en-US" w:eastAsia="zh-CN"/>
              </w:rPr>
              <w:t>6</w:t>
            </w:r>
            <w:r>
              <w:rPr>
                <w:rFonts w:hint="eastAsia" w:hAnsi="仿宋_GB2312" w:cs="仿宋_GB2312"/>
                <w:sz w:val="20"/>
                <w:szCs w:val="20"/>
              </w:rPr>
              <w:t>月社保缴纳人数超过30人（不包括30人）得2分，10-30得1分，10人以下不得分，社保缴纳人数包括竞商人下属分公司，不包括子公司。</w:t>
            </w:r>
          </w:p>
        </w:tc>
        <w:tc>
          <w:tcPr>
            <w:tcW w:w="1029" w:type="dxa"/>
            <w:tcBorders>
              <w:top w:val="nil"/>
              <w:left w:val="nil"/>
              <w:bottom w:val="single" w:color="auto" w:sz="4" w:space="0"/>
              <w:right w:val="single" w:color="auto" w:sz="4" w:space="0"/>
            </w:tcBorders>
            <w:noWrap w:val="0"/>
            <w:vAlign w:val="center"/>
          </w:tcPr>
          <w:p w14:paraId="584E8330">
            <w:pPr>
              <w:spacing w:line="240" w:lineRule="exact"/>
              <w:jc w:val="center"/>
              <w:rPr>
                <w:rFonts w:hAnsi="仿宋_GB2312" w:cs="仿宋_GB2312"/>
                <w:sz w:val="20"/>
                <w:szCs w:val="20"/>
              </w:rPr>
            </w:pPr>
            <w:r>
              <w:rPr>
                <w:rFonts w:hint="eastAsia" w:hAnsi="仿宋_GB2312" w:cs="仿宋_GB2312"/>
                <w:sz w:val="20"/>
                <w:szCs w:val="20"/>
              </w:rPr>
              <w:t>0-2</w:t>
            </w:r>
          </w:p>
        </w:tc>
      </w:tr>
      <w:tr w14:paraId="3CC8FAD0">
        <w:tblPrEx>
          <w:tblCellMar>
            <w:top w:w="0" w:type="dxa"/>
            <w:left w:w="108" w:type="dxa"/>
            <w:bottom w:w="0" w:type="dxa"/>
            <w:right w:w="108" w:type="dxa"/>
          </w:tblCellMar>
        </w:tblPrEx>
        <w:trPr>
          <w:trHeight w:val="864" w:hRule="atLeast"/>
        </w:trPr>
        <w:tc>
          <w:tcPr>
            <w:tcW w:w="657" w:type="dxa"/>
            <w:vMerge w:val="continue"/>
            <w:tcBorders>
              <w:left w:val="single" w:color="auto" w:sz="4" w:space="0"/>
              <w:right w:val="single" w:color="auto" w:sz="4" w:space="0"/>
            </w:tcBorders>
            <w:noWrap w:val="0"/>
            <w:vAlign w:val="center"/>
          </w:tcPr>
          <w:p w14:paraId="2268D2D0">
            <w:pPr>
              <w:spacing w:line="240" w:lineRule="exact"/>
              <w:rPr>
                <w:rFonts w:hAnsi="仿宋_GB2312" w:cs="仿宋_GB2312"/>
                <w:sz w:val="20"/>
                <w:szCs w:val="20"/>
              </w:rPr>
            </w:pPr>
          </w:p>
        </w:tc>
        <w:tc>
          <w:tcPr>
            <w:tcW w:w="958" w:type="dxa"/>
            <w:vMerge w:val="continue"/>
            <w:tcBorders>
              <w:left w:val="single" w:color="auto" w:sz="4" w:space="0"/>
              <w:right w:val="single" w:color="auto" w:sz="4" w:space="0"/>
            </w:tcBorders>
            <w:noWrap w:val="0"/>
            <w:vAlign w:val="center"/>
          </w:tcPr>
          <w:p w14:paraId="1E7079F1">
            <w:pPr>
              <w:spacing w:line="240" w:lineRule="exact"/>
              <w:rPr>
                <w:rFonts w:hAnsi="仿宋_GB2312" w:cs="仿宋_GB2312"/>
                <w:sz w:val="20"/>
                <w:szCs w:val="20"/>
              </w:rPr>
            </w:pPr>
          </w:p>
        </w:tc>
        <w:tc>
          <w:tcPr>
            <w:tcW w:w="562" w:type="dxa"/>
            <w:vMerge w:val="continue"/>
            <w:tcBorders>
              <w:left w:val="single" w:color="auto" w:sz="4" w:space="0"/>
              <w:right w:val="single" w:color="auto" w:sz="4" w:space="0"/>
            </w:tcBorders>
            <w:noWrap w:val="0"/>
            <w:vAlign w:val="center"/>
          </w:tcPr>
          <w:p w14:paraId="1F2A108A">
            <w:pPr>
              <w:spacing w:line="240" w:lineRule="exact"/>
              <w:rPr>
                <w:rFonts w:hAnsi="仿宋_GB2312" w:cs="仿宋_GB2312"/>
                <w:b/>
                <w:bCs/>
                <w:sz w:val="20"/>
                <w:szCs w:val="20"/>
              </w:rPr>
            </w:pPr>
          </w:p>
        </w:tc>
        <w:tc>
          <w:tcPr>
            <w:tcW w:w="852" w:type="dxa"/>
            <w:tcBorders>
              <w:top w:val="nil"/>
              <w:left w:val="nil"/>
              <w:bottom w:val="single" w:color="auto" w:sz="4" w:space="0"/>
              <w:right w:val="single" w:color="auto" w:sz="4" w:space="0"/>
            </w:tcBorders>
            <w:noWrap w:val="0"/>
            <w:vAlign w:val="center"/>
          </w:tcPr>
          <w:p w14:paraId="24840254">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6001" w:type="dxa"/>
            <w:tcBorders>
              <w:top w:val="nil"/>
              <w:left w:val="nil"/>
              <w:bottom w:val="single" w:color="auto" w:sz="4" w:space="0"/>
              <w:right w:val="single" w:color="auto" w:sz="4" w:space="0"/>
            </w:tcBorders>
            <w:noWrap w:val="0"/>
            <w:vAlign w:val="center"/>
          </w:tcPr>
          <w:p w14:paraId="0CFE8AB4">
            <w:pPr>
              <w:spacing w:line="240" w:lineRule="exact"/>
              <w:rPr>
                <w:rFonts w:hAnsi="仿宋_GB2312" w:cs="仿宋_GB2312"/>
                <w:sz w:val="20"/>
                <w:szCs w:val="20"/>
              </w:rPr>
            </w:pPr>
            <w:r>
              <w:rPr>
                <w:rFonts w:hint="eastAsia" w:hAnsi="仿宋_GB2312" w:cs="仿宋_GB2312"/>
                <w:sz w:val="20"/>
                <w:szCs w:val="20"/>
              </w:rPr>
              <w:t>企业所得税：2024年企业所得纳税金额小于10万（不包括10万）不得分，10-50万（不包括50万）得1分，50万及以上2分。（需提供完税证明，不提供证明者不得分）。</w:t>
            </w:r>
          </w:p>
        </w:tc>
        <w:tc>
          <w:tcPr>
            <w:tcW w:w="1029" w:type="dxa"/>
            <w:tcBorders>
              <w:top w:val="nil"/>
              <w:left w:val="nil"/>
              <w:bottom w:val="single" w:color="auto" w:sz="4" w:space="0"/>
              <w:right w:val="single" w:color="auto" w:sz="4" w:space="0"/>
            </w:tcBorders>
            <w:noWrap w:val="0"/>
            <w:vAlign w:val="center"/>
          </w:tcPr>
          <w:p w14:paraId="3BB9589C">
            <w:pPr>
              <w:spacing w:line="240" w:lineRule="exact"/>
              <w:jc w:val="center"/>
              <w:rPr>
                <w:rFonts w:hAnsi="仿宋_GB2312" w:cs="仿宋_GB2312"/>
                <w:sz w:val="20"/>
                <w:szCs w:val="20"/>
              </w:rPr>
            </w:pPr>
            <w:r>
              <w:rPr>
                <w:rFonts w:hint="eastAsia" w:hAnsi="仿宋_GB2312" w:cs="仿宋_GB2312"/>
                <w:sz w:val="20"/>
                <w:szCs w:val="20"/>
              </w:rPr>
              <w:t>0-2</w:t>
            </w:r>
          </w:p>
        </w:tc>
      </w:tr>
      <w:tr w14:paraId="672CEB5F">
        <w:tblPrEx>
          <w:tblCellMar>
            <w:top w:w="0" w:type="dxa"/>
            <w:left w:w="108" w:type="dxa"/>
            <w:bottom w:w="0" w:type="dxa"/>
            <w:right w:w="108" w:type="dxa"/>
          </w:tblCellMar>
        </w:tblPrEx>
        <w:trPr>
          <w:trHeight w:val="342" w:hRule="atLeast"/>
        </w:trPr>
        <w:tc>
          <w:tcPr>
            <w:tcW w:w="657" w:type="dxa"/>
            <w:vMerge w:val="continue"/>
            <w:tcBorders>
              <w:left w:val="single" w:color="auto" w:sz="4" w:space="0"/>
              <w:right w:val="single" w:color="auto" w:sz="4" w:space="0"/>
            </w:tcBorders>
            <w:noWrap w:val="0"/>
            <w:vAlign w:val="center"/>
          </w:tcPr>
          <w:p w14:paraId="1549E709">
            <w:pPr>
              <w:spacing w:line="240" w:lineRule="exact"/>
              <w:rPr>
                <w:rFonts w:hAnsi="仿宋_GB2312" w:cs="仿宋_GB2312"/>
                <w:sz w:val="20"/>
                <w:szCs w:val="20"/>
              </w:rPr>
            </w:pPr>
          </w:p>
        </w:tc>
        <w:tc>
          <w:tcPr>
            <w:tcW w:w="958" w:type="dxa"/>
            <w:vMerge w:val="continue"/>
            <w:tcBorders>
              <w:left w:val="single" w:color="auto" w:sz="4" w:space="0"/>
              <w:right w:val="single" w:color="auto" w:sz="4" w:space="0"/>
            </w:tcBorders>
            <w:noWrap w:val="0"/>
            <w:vAlign w:val="center"/>
          </w:tcPr>
          <w:p w14:paraId="7D4ADA30">
            <w:pPr>
              <w:spacing w:line="240" w:lineRule="exact"/>
              <w:rPr>
                <w:rFonts w:hAnsi="仿宋_GB2312" w:cs="仿宋_GB2312"/>
                <w:sz w:val="20"/>
                <w:szCs w:val="20"/>
              </w:rPr>
            </w:pPr>
          </w:p>
        </w:tc>
        <w:tc>
          <w:tcPr>
            <w:tcW w:w="562" w:type="dxa"/>
            <w:vMerge w:val="continue"/>
            <w:tcBorders>
              <w:left w:val="single" w:color="auto" w:sz="4" w:space="0"/>
              <w:right w:val="single" w:color="auto" w:sz="4" w:space="0"/>
            </w:tcBorders>
            <w:noWrap w:val="0"/>
            <w:vAlign w:val="center"/>
          </w:tcPr>
          <w:p w14:paraId="06A6520B">
            <w:pPr>
              <w:spacing w:line="240" w:lineRule="exact"/>
              <w:rPr>
                <w:rFonts w:hAnsi="仿宋_GB2312" w:cs="仿宋_GB2312"/>
                <w:b/>
                <w:bCs/>
                <w:sz w:val="20"/>
                <w:szCs w:val="20"/>
              </w:rPr>
            </w:pPr>
          </w:p>
        </w:tc>
        <w:tc>
          <w:tcPr>
            <w:tcW w:w="852" w:type="dxa"/>
            <w:tcBorders>
              <w:top w:val="single" w:color="auto" w:sz="4" w:space="0"/>
              <w:left w:val="nil"/>
              <w:bottom w:val="single" w:color="auto" w:sz="4" w:space="0"/>
              <w:right w:val="single" w:color="auto" w:sz="4" w:space="0"/>
            </w:tcBorders>
            <w:noWrap w:val="0"/>
            <w:vAlign w:val="center"/>
          </w:tcPr>
          <w:p w14:paraId="16E76C2E">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6001" w:type="dxa"/>
            <w:tcBorders>
              <w:top w:val="single" w:color="auto" w:sz="4" w:space="0"/>
              <w:left w:val="nil"/>
              <w:bottom w:val="single" w:color="auto" w:sz="4" w:space="0"/>
              <w:right w:val="single" w:color="auto" w:sz="4" w:space="0"/>
            </w:tcBorders>
            <w:noWrap w:val="0"/>
            <w:vAlign w:val="center"/>
          </w:tcPr>
          <w:p w14:paraId="3A14F6E3">
            <w:pPr>
              <w:spacing w:line="240" w:lineRule="exact"/>
              <w:rPr>
                <w:rFonts w:hAnsi="仿宋_GB2312" w:cs="仿宋_GB2312"/>
                <w:sz w:val="20"/>
                <w:szCs w:val="20"/>
              </w:rPr>
            </w:pPr>
            <w:r>
              <w:rPr>
                <w:rFonts w:hint="eastAsia" w:hAnsi="仿宋_GB2312" w:cs="仿宋_GB2312"/>
                <w:sz w:val="20"/>
                <w:szCs w:val="20"/>
              </w:rPr>
              <w:t>支付能力：截至2025年</w:t>
            </w:r>
            <w:r>
              <w:rPr>
                <w:rFonts w:hint="eastAsia" w:hAnsi="仿宋_GB2312" w:cs="仿宋_GB2312"/>
                <w:sz w:val="20"/>
                <w:szCs w:val="20"/>
                <w:lang w:val="en-US" w:eastAsia="zh-CN"/>
              </w:rPr>
              <w:t>6</w:t>
            </w:r>
            <w:r>
              <w:rPr>
                <w:rFonts w:hint="eastAsia" w:hAnsi="仿宋_GB2312" w:cs="仿宋_GB2312"/>
                <w:sz w:val="20"/>
                <w:szCs w:val="20"/>
              </w:rPr>
              <w:t>月末银行对账单期末余额高于支付周期固定综合费报价的2倍及以上得2分，余额高于支付周期固定综合费报价且不足2倍得1分，余额低于支付周期固定综合费报价的不得分。（未提供2025年</w:t>
            </w:r>
            <w:r>
              <w:rPr>
                <w:rFonts w:hint="eastAsia" w:hAnsi="仿宋_GB2312" w:cs="仿宋_GB2312"/>
                <w:sz w:val="20"/>
                <w:szCs w:val="20"/>
                <w:lang w:val="en-US" w:eastAsia="zh-CN"/>
              </w:rPr>
              <w:t>6</w:t>
            </w:r>
            <w:r>
              <w:rPr>
                <w:rFonts w:hint="eastAsia" w:hAnsi="仿宋_GB2312" w:cs="仿宋_GB2312"/>
                <w:sz w:val="20"/>
                <w:szCs w:val="20"/>
              </w:rPr>
              <w:t>月月末银行对账单期末余额的不得分）</w:t>
            </w:r>
          </w:p>
        </w:tc>
        <w:tc>
          <w:tcPr>
            <w:tcW w:w="1029" w:type="dxa"/>
            <w:tcBorders>
              <w:top w:val="single" w:color="auto" w:sz="4" w:space="0"/>
              <w:left w:val="nil"/>
              <w:bottom w:val="single" w:color="auto" w:sz="4" w:space="0"/>
              <w:right w:val="single" w:color="auto" w:sz="4" w:space="0"/>
            </w:tcBorders>
            <w:noWrap w:val="0"/>
            <w:vAlign w:val="center"/>
          </w:tcPr>
          <w:p w14:paraId="1F2FD369">
            <w:pPr>
              <w:spacing w:line="240" w:lineRule="exact"/>
              <w:jc w:val="center"/>
              <w:rPr>
                <w:rFonts w:hAnsi="仿宋_GB2312" w:cs="仿宋_GB2312"/>
                <w:sz w:val="20"/>
                <w:szCs w:val="20"/>
              </w:rPr>
            </w:pPr>
            <w:r>
              <w:rPr>
                <w:rFonts w:hint="eastAsia" w:hAnsi="仿宋_GB2312" w:cs="仿宋_GB2312"/>
                <w:sz w:val="20"/>
                <w:szCs w:val="20"/>
              </w:rPr>
              <w:t>0-2</w:t>
            </w:r>
          </w:p>
        </w:tc>
      </w:tr>
      <w:tr w14:paraId="17EF2A41">
        <w:tblPrEx>
          <w:tblCellMar>
            <w:top w:w="0" w:type="dxa"/>
            <w:left w:w="108" w:type="dxa"/>
            <w:bottom w:w="0" w:type="dxa"/>
            <w:right w:w="108" w:type="dxa"/>
          </w:tblCellMar>
        </w:tblPrEx>
        <w:trPr>
          <w:trHeight w:val="342" w:hRule="atLeast"/>
        </w:trPr>
        <w:tc>
          <w:tcPr>
            <w:tcW w:w="657" w:type="dxa"/>
            <w:vMerge w:val="continue"/>
            <w:tcBorders>
              <w:left w:val="single" w:color="auto" w:sz="4" w:space="0"/>
              <w:bottom w:val="single" w:color="000000" w:sz="4" w:space="0"/>
              <w:right w:val="single" w:color="auto" w:sz="4" w:space="0"/>
            </w:tcBorders>
            <w:noWrap w:val="0"/>
            <w:vAlign w:val="center"/>
          </w:tcPr>
          <w:p w14:paraId="10A85001">
            <w:pPr>
              <w:spacing w:line="240" w:lineRule="exact"/>
              <w:rPr>
                <w:rFonts w:hAnsi="仿宋_GB2312" w:cs="仿宋_GB2312"/>
                <w:sz w:val="20"/>
                <w:szCs w:val="20"/>
              </w:rPr>
            </w:pPr>
          </w:p>
        </w:tc>
        <w:tc>
          <w:tcPr>
            <w:tcW w:w="958" w:type="dxa"/>
            <w:vMerge w:val="continue"/>
            <w:tcBorders>
              <w:left w:val="single" w:color="auto" w:sz="4" w:space="0"/>
              <w:bottom w:val="single" w:color="000000" w:sz="4" w:space="0"/>
              <w:right w:val="single" w:color="auto" w:sz="4" w:space="0"/>
            </w:tcBorders>
            <w:noWrap w:val="0"/>
            <w:vAlign w:val="center"/>
          </w:tcPr>
          <w:p w14:paraId="3EBCF5F6">
            <w:pPr>
              <w:spacing w:line="240" w:lineRule="exact"/>
              <w:rPr>
                <w:rFonts w:hAnsi="仿宋_GB2312" w:cs="仿宋_GB2312"/>
                <w:sz w:val="20"/>
                <w:szCs w:val="20"/>
              </w:rPr>
            </w:pPr>
          </w:p>
        </w:tc>
        <w:tc>
          <w:tcPr>
            <w:tcW w:w="562" w:type="dxa"/>
            <w:vMerge w:val="continue"/>
            <w:tcBorders>
              <w:left w:val="single" w:color="auto" w:sz="4" w:space="0"/>
              <w:bottom w:val="single" w:color="000000" w:sz="4" w:space="0"/>
              <w:right w:val="single" w:color="auto" w:sz="4" w:space="0"/>
            </w:tcBorders>
            <w:noWrap w:val="0"/>
            <w:vAlign w:val="center"/>
          </w:tcPr>
          <w:p w14:paraId="2481A2CC">
            <w:pPr>
              <w:spacing w:line="240" w:lineRule="exact"/>
              <w:rPr>
                <w:rFonts w:hAnsi="仿宋_GB2312" w:cs="仿宋_GB2312"/>
                <w:b/>
                <w:bCs/>
                <w:sz w:val="20"/>
                <w:szCs w:val="20"/>
              </w:rPr>
            </w:pPr>
          </w:p>
        </w:tc>
        <w:tc>
          <w:tcPr>
            <w:tcW w:w="852" w:type="dxa"/>
            <w:tcBorders>
              <w:top w:val="single" w:color="auto" w:sz="4" w:space="0"/>
              <w:left w:val="nil"/>
              <w:bottom w:val="single" w:color="auto" w:sz="4" w:space="0"/>
              <w:right w:val="single" w:color="auto" w:sz="4" w:space="0"/>
            </w:tcBorders>
            <w:noWrap w:val="0"/>
            <w:vAlign w:val="center"/>
          </w:tcPr>
          <w:p w14:paraId="7B920B6A">
            <w:pPr>
              <w:spacing w:line="240" w:lineRule="exact"/>
              <w:jc w:val="center"/>
              <w:rPr>
                <w:rFonts w:hint="eastAsia" w:hAnsi="仿宋_GB2312" w:cs="仿宋_GB2312"/>
                <w:b/>
                <w:bCs/>
                <w:sz w:val="20"/>
                <w:szCs w:val="20"/>
              </w:rPr>
            </w:pPr>
            <w:r>
              <w:rPr>
                <w:rFonts w:hint="eastAsia" w:hAnsi="仿宋_GB2312" w:cs="仿宋_GB2312"/>
                <w:b/>
                <w:bCs/>
                <w:sz w:val="20"/>
                <w:szCs w:val="20"/>
              </w:rPr>
              <w:t>3</w:t>
            </w:r>
          </w:p>
        </w:tc>
        <w:tc>
          <w:tcPr>
            <w:tcW w:w="6001" w:type="dxa"/>
            <w:tcBorders>
              <w:top w:val="single" w:color="auto" w:sz="4" w:space="0"/>
              <w:left w:val="nil"/>
              <w:bottom w:val="single" w:color="auto" w:sz="4" w:space="0"/>
              <w:right w:val="single" w:color="auto" w:sz="4" w:space="0"/>
            </w:tcBorders>
            <w:noWrap w:val="0"/>
            <w:vAlign w:val="center"/>
          </w:tcPr>
          <w:p w14:paraId="39552DA7">
            <w:pPr>
              <w:spacing w:line="240" w:lineRule="exact"/>
              <w:rPr>
                <w:rFonts w:hint="eastAsia" w:hAnsi="仿宋_GB2312" w:cs="仿宋_GB2312"/>
                <w:sz w:val="20"/>
                <w:szCs w:val="20"/>
              </w:rPr>
            </w:pPr>
            <w:r>
              <w:rPr>
                <w:rFonts w:hint="eastAsia" w:hAnsi="仿宋_GB2312" w:cs="仿宋_GB2312"/>
                <w:sz w:val="20"/>
                <w:szCs w:val="20"/>
              </w:rPr>
              <w:t>2024年度文旅传媒公司资信评价等级评为3A级的优秀合作企业，加1分；4A级的优秀合作企业，加2分；5A级的优秀合作企业，加3分。</w:t>
            </w:r>
          </w:p>
        </w:tc>
        <w:tc>
          <w:tcPr>
            <w:tcW w:w="1029" w:type="dxa"/>
            <w:tcBorders>
              <w:top w:val="single" w:color="auto" w:sz="4" w:space="0"/>
              <w:left w:val="nil"/>
              <w:bottom w:val="single" w:color="auto" w:sz="4" w:space="0"/>
              <w:right w:val="single" w:color="auto" w:sz="4" w:space="0"/>
            </w:tcBorders>
            <w:noWrap w:val="0"/>
            <w:vAlign w:val="center"/>
          </w:tcPr>
          <w:p w14:paraId="67067AB2">
            <w:pPr>
              <w:spacing w:line="240" w:lineRule="exact"/>
              <w:jc w:val="center"/>
              <w:rPr>
                <w:rFonts w:hint="eastAsia" w:hAnsi="仿宋_GB2312" w:cs="仿宋_GB2312"/>
                <w:sz w:val="20"/>
                <w:szCs w:val="20"/>
              </w:rPr>
            </w:pPr>
            <w:r>
              <w:rPr>
                <w:rFonts w:hint="eastAsia" w:hAnsi="仿宋_GB2312" w:cs="仿宋_GB2312"/>
                <w:sz w:val="20"/>
                <w:szCs w:val="20"/>
              </w:rPr>
              <w:t>0-3</w:t>
            </w:r>
          </w:p>
        </w:tc>
      </w:tr>
      <w:tr w14:paraId="55F3BD9C">
        <w:tblPrEx>
          <w:tblCellMar>
            <w:top w:w="0" w:type="dxa"/>
            <w:left w:w="108" w:type="dxa"/>
            <w:bottom w:w="0" w:type="dxa"/>
            <w:right w:w="108" w:type="dxa"/>
          </w:tblCellMar>
        </w:tblPrEx>
        <w:trPr>
          <w:trHeight w:val="584" w:hRule="atLeast"/>
        </w:trPr>
        <w:tc>
          <w:tcPr>
            <w:tcW w:w="657" w:type="dxa"/>
            <w:vMerge w:val="restart"/>
            <w:tcBorders>
              <w:top w:val="single" w:color="auto" w:sz="4" w:space="0"/>
              <w:left w:val="single" w:color="auto" w:sz="4" w:space="0"/>
              <w:right w:val="single" w:color="auto" w:sz="4" w:space="0"/>
            </w:tcBorders>
            <w:noWrap w:val="0"/>
            <w:vAlign w:val="center"/>
          </w:tcPr>
          <w:p w14:paraId="397CEDE9">
            <w:pPr>
              <w:spacing w:line="240" w:lineRule="exact"/>
              <w:jc w:val="center"/>
              <w:rPr>
                <w:rFonts w:hAnsi="仿宋_GB2312" w:cs="仿宋_GB2312"/>
                <w:sz w:val="20"/>
                <w:szCs w:val="20"/>
              </w:rPr>
            </w:pPr>
            <w:r>
              <w:rPr>
                <w:rFonts w:hint="eastAsia" w:hAnsi="仿宋_GB2312" w:cs="仿宋_GB2312"/>
                <w:sz w:val="20"/>
                <w:szCs w:val="20"/>
              </w:rPr>
              <w:t>2</w:t>
            </w:r>
          </w:p>
        </w:tc>
        <w:tc>
          <w:tcPr>
            <w:tcW w:w="958" w:type="dxa"/>
            <w:vMerge w:val="restart"/>
            <w:tcBorders>
              <w:top w:val="single" w:color="auto" w:sz="4" w:space="0"/>
              <w:left w:val="single" w:color="auto" w:sz="4" w:space="0"/>
              <w:right w:val="single" w:color="auto" w:sz="4" w:space="0"/>
            </w:tcBorders>
            <w:noWrap w:val="0"/>
            <w:vAlign w:val="center"/>
          </w:tcPr>
          <w:p w14:paraId="5F77D7A6">
            <w:pPr>
              <w:spacing w:line="240" w:lineRule="exact"/>
              <w:jc w:val="center"/>
              <w:rPr>
                <w:rFonts w:hAnsi="仿宋_GB2312" w:cs="仿宋_GB2312"/>
                <w:sz w:val="20"/>
                <w:szCs w:val="20"/>
              </w:rPr>
            </w:pPr>
            <w:r>
              <w:rPr>
                <w:rFonts w:hint="eastAsia" w:hAnsi="仿宋_GB2312" w:cs="仿宋_GB2312"/>
                <w:sz w:val="20"/>
                <w:szCs w:val="20"/>
              </w:rPr>
              <w:t>商务条件报价</w:t>
            </w:r>
          </w:p>
        </w:tc>
        <w:tc>
          <w:tcPr>
            <w:tcW w:w="562" w:type="dxa"/>
            <w:vMerge w:val="restart"/>
            <w:tcBorders>
              <w:top w:val="single" w:color="auto" w:sz="4" w:space="0"/>
              <w:left w:val="single" w:color="auto" w:sz="4" w:space="0"/>
              <w:right w:val="single" w:color="auto" w:sz="4" w:space="0"/>
            </w:tcBorders>
            <w:noWrap w:val="0"/>
            <w:vAlign w:val="center"/>
          </w:tcPr>
          <w:p w14:paraId="0BF8BE17">
            <w:pPr>
              <w:spacing w:line="240" w:lineRule="exact"/>
              <w:jc w:val="center"/>
              <w:rPr>
                <w:rFonts w:hAnsi="仿宋_GB2312" w:cs="仿宋_GB2312"/>
                <w:b/>
                <w:bCs/>
                <w:sz w:val="20"/>
                <w:szCs w:val="20"/>
              </w:rPr>
            </w:pPr>
            <w:r>
              <w:rPr>
                <w:rFonts w:hint="eastAsia" w:hAnsi="仿宋_GB2312" w:cs="仿宋_GB2312"/>
                <w:b/>
                <w:bCs/>
                <w:sz w:val="20"/>
                <w:szCs w:val="20"/>
              </w:rPr>
              <w:t>79</w:t>
            </w:r>
          </w:p>
        </w:tc>
        <w:tc>
          <w:tcPr>
            <w:tcW w:w="852" w:type="dxa"/>
            <w:tcBorders>
              <w:top w:val="single" w:color="auto" w:sz="4" w:space="0"/>
              <w:left w:val="nil"/>
              <w:bottom w:val="single" w:color="auto" w:sz="4" w:space="0"/>
              <w:right w:val="single" w:color="auto" w:sz="4" w:space="0"/>
            </w:tcBorders>
            <w:noWrap w:val="0"/>
            <w:vAlign w:val="center"/>
          </w:tcPr>
          <w:p w14:paraId="0FB41585">
            <w:pPr>
              <w:spacing w:line="240" w:lineRule="exact"/>
              <w:jc w:val="center"/>
              <w:rPr>
                <w:rFonts w:hAnsi="仿宋_GB2312" w:cs="仿宋_GB2312"/>
                <w:b/>
                <w:bCs/>
                <w:sz w:val="20"/>
                <w:szCs w:val="20"/>
              </w:rPr>
            </w:pPr>
            <w:r>
              <w:rPr>
                <w:rFonts w:hint="eastAsia" w:hAnsi="仿宋_GB2312" w:cs="仿宋_GB2312"/>
                <w:b/>
                <w:bCs/>
                <w:sz w:val="20"/>
                <w:szCs w:val="20"/>
              </w:rPr>
              <w:t>70</w:t>
            </w:r>
          </w:p>
        </w:tc>
        <w:tc>
          <w:tcPr>
            <w:tcW w:w="6001" w:type="dxa"/>
            <w:tcBorders>
              <w:top w:val="nil"/>
              <w:left w:val="nil"/>
              <w:bottom w:val="single" w:color="auto" w:sz="4" w:space="0"/>
              <w:right w:val="single" w:color="auto" w:sz="4" w:space="0"/>
            </w:tcBorders>
            <w:noWrap w:val="0"/>
            <w:vAlign w:val="center"/>
          </w:tcPr>
          <w:p w14:paraId="465AF5C4">
            <w:pPr>
              <w:spacing w:line="240" w:lineRule="exact"/>
              <w:rPr>
                <w:rFonts w:hAnsi="仿宋_GB2312" w:cs="仿宋_GB2312"/>
                <w:sz w:val="20"/>
                <w:szCs w:val="20"/>
              </w:rPr>
            </w:pPr>
            <w:r>
              <w:rPr>
                <w:rFonts w:hint="eastAsia" w:hAnsi="仿宋_GB2312" w:cs="仿宋_GB2312"/>
                <w:sz w:val="20"/>
                <w:szCs w:val="20"/>
              </w:rPr>
              <w:t>固定综合费单价报价低于底价的视为无效报价，视为废标；报价达到底价的，得55分；报价每超过底价5%(含5%)加1.5分，最多加15分（不足5%部分不加分）。</w:t>
            </w:r>
          </w:p>
        </w:tc>
        <w:tc>
          <w:tcPr>
            <w:tcW w:w="1029" w:type="dxa"/>
            <w:tcBorders>
              <w:top w:val="nil"/>
              <w:left w:val="nil"/>
              <w:bottom w:val="single" w:color="auto" w:sz="4" w:space="0"/>
              <w:right w:val="single" w:color="auto" w:sz="4" w:space="0"/>
            </w:tcBorders>
            <w:noWrap w:val="0"/>
            <w:vAlign w:val="center"/>
          </w:tcPr>
          <w:p w14:paraId="45C6035B">
            <w:pPr>
              <w:spacing w:line="240" w:lineRule="exact"/>
              <w:jc w:val="center"/>
              <w:rPr>
                <w:rFonts w:hAnsi="仿宋_GB2312" w:cs="仿宋_GB2312"/>
                <w:sz w:val="20"/>
                <w:szCs w:val="20"/>
              </w:rPr>
            </w:pPr>
            <w:r>
              <w:rPr>
                <w:rFonts w:hint="eastAsia" w:hAnsi="仿宋_GB2312" w:cs="仿宋_GB2312"/>
                <w:sz w:val="20"/>
                <w:szCs w:val="20"/>
              </w:rPr>
              <w:t>0-70</w:t>
            </w:r>
          </w:p>
        </w:tc>
      </w:tr>
      <w:tr w14:paraId="348B9AC2">
        <w:tblPrEx>
          <w:tblCellMar>
            <w:top w:w="0" w:type="dxa"/>
            <w:left w:w="108" w:type="dxa"/>
            <w:bottom w:w="0" w:type="dxa"/>
            <w:right w:w="108" w:type="dxa"/>
          </w:tblCellMar>
        </w:tblPrEx>
        <w:trPr>
          <w:trHeight w:val="122" w:hRule="atLeast"/>
        </w:trPr>
        <w:tc>
          <w:tcPr>
            <w:tcW w:w="657" w:type="dxa"/>
            <w:vMerge w:val="continue"/>
            <w:tcBorders>
              <w:left w:val="single" w:color="auto" w:sz="4" w:space="0"/>
              <w:right w:val="single" w:color="auto" w:sz="4" w:space="0"/>
            </w:tcBorders>
            <w:noWrap w:val="0"/>
            <w:vAlign w:val="center"/>
          </w:tcPr>
          <w:p w14:paraId="6417DF71">
            <w:pPr>
              <w:spacing w:line="240" w:lineRule="exact"/>
              <w:rPr>
                <w:rFonts w:hAnsi="仿宋_GB2312" w:cs="仿宋_GB2312"/>
                <w:sz w:val="20"/>
                <w:szCs w:val="20"/>
              </w:rPr>
            </w:pPr>
          </w:p>
        </w:tc>
        <w:tc>
          <w:tcPr>
            <w:tcW w:w="958" w:type="dxa"/>
            <w:vMerge w:val="continue"/>
            <w:tcBorders>
              <w:left w:val="single" w:color="auto" w:sz="4" w:space="0"/>
              <w:right w:val="single" w:color="auto" w:sz="4" w:space="0"/>
            </w:tcBorders>
            <w:noWrap w:val="0"/>
            <w:vAlign w:val="center"/>
          </w:tcPr>
          <w:p w14:paraId="42DB6215">
            <w:pPr>
              <w:spacing w:line="240" w:lineRule="exact"/>
              <w:rPr>
                <w:rFonts w:hAnsi="仿宋_GB2312" w:cs="仿宋_GB2312"/>
                <w:sz w:val="20"/>
                <w:szCs w:val="20"/>
              </w:rPr>
            </w:pPr>
          </w:p>
        </w:tc>
        <w:tc>
          <w:tcPr>
            <w:tcW w:w="562" w:type="dxa"/>
            <w:vMerge w:val="continue"/>
            <w:tcBorders>
              <w:left w:val="single" w:color="auto" w:sz="4" w:space="0"/>
              <w:right w:val="single" w:color="auto" w:sz="4" w:space="0"/>
            </w:tcBorders>
            <w:noWrap w:val="0"/>
            <w:vAlign w:val="center"/>
          </w:tcPr>
          <w:p w14:paraId="0819254A">
            <w:pPr>
              <w:spacing w:line="240" w:lineRule="exact"/>
              <w:rPr>
                <w:rFonts w:hAnsi="仿宋_GB2312" w:cs="仿宋_GB2312"/>
                <w:b/>
                <w:bCs/>
                <w:sz w:val="20"/>
                <w:szCs w:val="20"/>
              </w:rPr>
            </w:pPr>
          </w:p>
        </w:tc>
        <w:tc>
          <w:tcPr>
            <w:tcW w:w="852" w:type="dxa"/>
            <w:tcBorders>
              <w:top w:val="single" w:color="auto" w:sz="4" w:space="0"/>
              <w:left w:val="nil"/>
              <w:bottom w:val="single" w:color="auto" w:sz="4" w:space="0"/>
              <w:right w:val="single" w:color="auto" w:sz="4" w:space="0"/>
            </w:tcBorders>
            <w:noWrap w:val="0"/>
            <w:vAlign w:val="center"/>
          </w:tcPr>
          <w:p w14:paraId="38DC2F1B">
            <w:pPr>
              <w:spacing w:line="240" w:lineRule="exact"/>
              <w:jc w:val="center"/>
              <w:rPr>
                <w:rFonts w:hint="eastAsia" w:hAnsi="仿宋_GB2312" w:cs="仿宋_GB2312"/>
                <w:b/>
                <w:bCs/>
                <w:sz w:val="20"/>
                <w:szCs w:val="20"/>
              </w:rPr>
            </w:pPr>
            <w:r>
              <w:rPr>
                <w:rFonts w:hint="eastAsia" w:hAnsi="仿宋_GB2312" w:cs="仿宋_GB2312"/>
                <w:b/>
                <w:bCs/>
                <w:sz w:val="20"/>
                <w:szCs w:val="20"/>
                <w:lang w:val="en-US" w:eastAsia="zh-CN"/>
              </w:rPr>
              <w:t>5</w:t>
            </w:r>
          </w:p>
        </w:tc>
        <w:tc>
          <w:tcPr>
            <w:tcW w:w="6001" w:type="dxa"/>
            <w:tcBorders>
              <w:top w:val="single" w:color="auto" w:sz="4" w:space="0"/>
              <w:left w:val="nil"/>
              <w:bottom w:val="single" w:color="auto" w:sz="4" w:space="0"/>
              <w:right w:val="single" w:color="auto" w:sz="4" w:space="0"/>
            </w:tcBorders>
            <w:noWrap w:val="0"/>
            <w:vAlign w:val="center"/>
          </w:tcPr>
          <w:p w14:paraId="681B3E31">
            <w:pPr>
              <w:spacing w:line="240" w:lineRule="exact"/>
              <w:rPr>
                <w:rFonts w:hAnsi="仿宋_GB2312" w:cs="仿宋_GB2312"/>
                <w:sz w:val="20"/>
                <w:szCs w:val="20"/>
              </w:rPr>
            </w:pPr>
            <w:r>
              <w:rPr>
                <w:rFonts w:hint="eastAsia" w:hAnsi="仿宋_GB2312" w:cs="仿宋_GB2312"/>
                <w:sz w:val="20"/>
                <w:szCs w:val="20"/>
              </w:rPr>
              <w:t>年递增比例低于2%视为无效报价，2%不得分，3%得</w:t>
            </w:r>
            <w:r>
              <w:rPr>
                <w:rFonts w:hint="eastAsia" w:hAnsi="仿宋_GB2312" w:cs="仿宋_GB2312"/>
                <w:sz w:val="20"/>
                <w:szCs w:val="20"/>
                <w:lang w:val="en-US" w:eastAsia="zh-CN"/>
              </w:rPr>
              <w:t>1</w:t>
            </w:r>
            <w:r>
              <w:rPr>
                <w:rFonts w:hint="eastAsia" w:hAnsi="仿宋_GB2312" w:cs="仿宋_GB2312"/>
                <w:sz w:val="20"/>
                <w:szCs w:val="20"/>
              </w:rPr>
              <w:t>分，4%得</w:t>
            </w:r>
            <w:r>
              <w:rPr>
                <w:rFonts w:hint="eastAsia" w:hAnsi="仿宋_GB2312" w:cs="仿宋_GB2312"/>
                <w:sz w:val="20"/>
                <w:szCs w:val="20"/>
                <w:lang w:val="en-US" w:eastAsia="zh-CN"/>
              </w:rPr>
              <w:t>3</w:t>
            </w:r>
            <w:r>
              <w:rPr>
                <w:rFonts w:hint="eastAsia" w:hAnsi="仿宋_GB2312" w:cs="仿宋_GB2312"/>
                <w:sz w:val="20"/>
                <w:szCs w:val="20"/>
              </w:rPr>
              <w:t>分，5%得</w:t>
            </w:r>
            <w:r>
              <w:rPr>
                <w:rFonts w:hint="eastAsia" w:hAnsi="仿宋_GB2312" w:cs="仿宋_GB2312"/>
                <w:sz w:val="20"/>
                <w:szCs w:val="20"/>
                <w:lang w:val="en-US" w:eastAsia="zh-CN"/>
              </w:rPr>
              <w:t>5</w:t>
            </w:r>
            <w:r>
              <w:rPr>
                <w:rFonts w:hint="eastAsia" w:hAnsi="仿宋_GB2312" w:cs="仿宋_GB2312"/>
                <w:sz w:val="20"/>
                <w:szCs w:val="20"/>
              </w:rPr>
              <w:t>分。</w:t>
            </w:r>
          </w:p>
        </w:tc>
        <w:tc>
          <w:tcPr>
            <w:tcW w:w="1029" w:type="dxa"/>
            <w:tcBorders>
              <w:top w:val="single" w:color="auto" w:sz="4" w:space="0"/>
              <w:left w:val="nil"/>
              <w:bottom w:val="single" w:color="auto" w:sz="4" w:space="0"/>
              <w:right w:val="single" w:color="auto" w:sz="4" w:space="0"/>
            </w:tcBorders>
            <w:noWrap w:val="0"/>
            <w:vAlign w:val="center"/>
          </w:tcPr>
          <w:p w14:paraId="0DB5A71C">
            <w:pPr>
              <w:spacing w:line="240" w:lineRule="exact"/>
              <w:jc w:val="center"/>
              <w:rPr>
                <w:rFonts w:hint="eastAsia" w:hAnsi="仿宋_GB2312" w:cs="仿宋_GB2312"/>
                <w:sz w:val="20"/>
                <w:szCs w:val="20"/>
              </w:rPr>
            </w:pPr>
            <w:r>
              <w:rPr>
                <w:rFonts w:hint="eastAsia" w:hAnsi="仿宋_GB2312" w:cs="仿宋_GB2312"/>
                <w:sz w:val="20"/>
                <w:szCs w:val="20"/>
              </w:rPr>
              <w:t>0-</w:t>
            </w:r>
            <w:r>
              <w:rPr>
                <w:rFonts w:hint="eastAsia" w:hAnsi="仿宋_GB2312" w:cs="仿宋_GB2312"/>
                <w:sz w:val="20"/>
                <w:szCs w:val="20"/>
                <w:lang w:val="en-US" w:eastAsia="zh-CN"/>
              </w:rPr>
              <w:t>5</w:t>
            </w:r>
          </w:p>
        </w:tc>
      </w:tr>
      <w:tr w14:paraId="6B1CDA0D">
        <w:tblPrEx>
          <w:tblCellMar>
            <w:top w:w="0" w:type="dxa"/>
            <w:left w:w="108" w:type="dxa"/>
            <w:bottom w:w="0" w:type="dxa"/>
            <w:right w:w="108" w:type="dxa"/>
          </w:tblCellMar>
        </w:tblPrEx>
        <w:trPr>
          <w:trHeight w:val="426" w:hRule="atLeast"/>
        </w:trPr>
        <w:tc>
          <w:tcPr>
            <w:tcW w:w="657" w:type="dxa"/>
            <w:vMerge w:val="continue"/>
            <w:tcBorders>
              <w:left w:val="single" w:color="auto" w:sz="4" w:space="0"/>
              <w:right w:val="single" w:color="auto" w:sz="4" w:space="0"/>
            </w:tcBorders>
            <w:noWrap w:val="0"/>
            <w:vAlign w:val="center"/>
          </w:tcPr>
          <w:p w14:paraId="0DBF2F4D">
            <w:pPr>
              <w:spacing w:line="240" w:lineRule="exact"/>
              <w:rPr>
                <w:rFonts w:hAnsi="仿宋_GB2312" w:cs="仿宋_GB2312"/>
                <w:sz w:val="20"/>
                <w:szCs w:val="20"/>
              </w:rPr>
            </w:pPr>
          </w:p>
        </w:tc>
        <w:tc>
          <w:tcPr>
            <w:tcW w:w="958" w:type="dxa"/>
            <w:vMerge w:val="continue"/>
            <w:tcBorders>
              <w:left w:val="single" w:color="auto" w:sz="4" w:space="0"/>
              <w:right w:val="single" w:color="auto" w:sz="4" w:space="0"/>
            </w:tcBorders>
            <w:noWrap w:val="0"/>
            <w:vAlign w:val="center"/>
          </w:tcPr>
          <w:p w14:paraId="1AC54C07">
            <w:pPr>
              <w:spacing w:line="240" w:lineRule="exact"/>
              <w:rPr>
                <w:rFonts w:hAnsi="仿宋_GB2312" w:cs="仿宋_GB2312"/>
                <w:sz w:val="20"/>
                <w:szCs w:val="20"/>
              </w:rPr>
            </w:pPr>
          </w:p>
        </w:tc>
        <w:tc>
          <w:tcPr>
            <w:tcW w:w="562" w:type="dxa"/>
            <w:vMerge w:val="continue"/>
            <w:tcBorders>
              <w:left w:val="single" w:color="auto" w:sz="4" w:space="0"/>
              <w:right w:val="single" w:color="auto" w:sz="4" w:space="0"/>
            </w:tcBorders>
            <w:noWrap w:val="0"/>
            <w:vAlign w:val="center"/>
          </w:tcPr>
          <w:p w14:paraId="4E2AB987">
            <w:pPr>
              <w:spacing w:line="240" w:lineRule="exact"/>
              <w:rPr>
                <w:rFonts w:hAnsi="仿宋_GB2312" w:cs="仿宋_GB2312"/>
                <w:b/>
                <w:bCs/>
                <w:sz w:val="20"/>
                <w:szCs w:val="20"/>
              </w:rPr>
            </w:pPr>
          </w:p>
        </w:tc>
        <w:tc>
          <w:tcPr>
            <w:tcW w:w="852" w:type="dxa"/>
            <w:tcBorders>
              <w:top w:val="nil"/>
              <w:left w:val="nil"/>
              <w:bottom w:val="single" w:color="auto" w:sz="4" w:space="0"/>
              <w:right w:val="single" w:color="auto" w:sz="4" w:space="0"/>
            </w:tcBorders>
            <w:noWrap w:val="0"/>
            <w:vAlign w:val="center"/>
          </w:tcPr>
          <w:p w14:paraId="6817BC56">
            <w:pPr>
              <w:spacing w:line="240" w:lineRule="exact"/>
              <w:jc w:val="center"/>
              <w:rPr>
                <w:rFonts w:hAnsi="仿宋_GB2312" w:cs="仿宋_GB2312"/>
                <w:b/>
                <w:sz w:val="20"/>
                <w:szCs w:val="20"/>
              </w:rPr>
            </w:pPr>
            <w:r>
              <w:rPr>
                <w:rFonts w:hint="eastAsia" w:hAnsi="仿宋_GB2312" w:cs="仿宋_GB2312"/>
                <w:b/>
                <w:sz w:val="20"/>
                <w:szCs w:val="20"/>
                <w:lang w:val="en-US" w:eastAsia="zh-CN"/>
              </w:rPr>
              <w:t>4</w:t>
            </w:r>
          </w:p>
        </w:tc>
        <w:tc>
          <w:tcPr>
            <w:tcW w:w="6001" w:type="dxa"/>
            <w:tcBorders>
              <w:top w:val="nil"/>
              <w:left w:val="nil"/>
              <w:bottom w:val="single" w:color="auto" w:sz="4" w:space="0"/>
              <w:right w:val="single" w:color="auto" w:sz="4" w:space="0"/>
            </w:tcBorders>
            <w:noWrap w:val="0"/>
            <w:vAlign w:val="center"/>
          </w:tcPr>
          <w:p w14:paraId="6E887462">
            <w:pPr>
              <w:spacing w:line="240" w:lineRule="exact"/>
              <w:rPr>
                <w:rFonts w:hAnsi="仿宋_GB2312" w:cs="仿宋_GB2312"/>
                <w:sz w:val="20"/>
                <w:szCs w:val="20"/>
              </w:rPr>
            </w:pPr>
            <w:r>
              <w:rPr>
                <w:rFonts w:hint="eastAsia" w:hAnsi="仿宋_GB2312" w:cs="仿宋_GB2312"/>
                <w:sz w:val="20"/>
                <w:szCs w:val="20"/>
              </w:rPr>
              <w:t>固定综合费单价报价排名第一（含并列）的得</w:t>
            </w:r>
            <w:r>
              <w:rPr>
                <w:rFonts w:hint="eastAsia" w:hAnsi="仿宋_GB2312" w:cs="仿宋_GB2312"/>
                <w:sz w:val="20"/>
                <w:szCs w:val="20"/>
                <w:lang w:val="en-US" w:eastAsia="zh-CN"/>
              </w:rPr>
              <w:t>4</w:t>
            </w:r>
            <w:r>
              <w:rPr>
                <w:rFonts w:hint="eastAsia" w:hAnsi="仿宋_GB2312" w:cs="仿宋_GB2312"/>
                <w:sz w:val="20"/>
                <w:szCs w:val="20"/>
              </w:rPr>
              <w:t>分。</w:t>
            </w:r>
          </w:p>
        </w:tc>
        <w:tc>
          <w:tcPr>
            <w:tcW w:w="1029" w:type="dxa"/>
            <w:tcBorders>
              <w:top w:val="nil"/>
              <w:left w:val="nil"/>
              <w:bottom w:val="single" w:color="auto" w:sz="4" w:space="0"/>
              <w:right w:val="single" w:color="auto" w:sz="4" w:space="0"/>
            </w:tcBorders>
            <w:noWrap w:val="0"/>
            <w:vAlign w:val="center"/>
          </w:tcPr>
          <w:p w14:paraId="5F8A6979">
            <w:pPr>
              <w:spacing w:line="240" w:lineRule="exact"/>
              <w:jc w:val="center"/>
              <w:rPr>
                <w:rFonts w:hAnsi="仿宋_GB2312" w:cs="仿宋_GB2312"/>
                <w:sz w:val="20"/>
                <w:szCs w:val="20"/>
              </w:rPr>
            </w:pPr>
            <w:r>
              <w:rPr>
                <w:rFonts w:hint="eastAsia" w:hAnsi="仿宋_GB2312" w:cs="仿宋_GB2312"/>
                <w:sz w:val="20"/>
                <w:szCs w:val="20"/>
              </w:rPr>
              <w:t>0-</w:t>
            </w:r>
            <w:r>
              <w:rPr>
                <w:rFonts w:hint="eastAsia" w:hAnsi="仿宋_GB2312" w:cs="仿宋_GB2312"/>
                <w:sz w:val="20"/>
                <w:szCs w:val="20"/>
                <w:lang w:val="en-US" w:eastAsia="zh-CN"/>
              </w:rPr>
              <w:t>4</w:t>
            </w:r>
          </w:p>
        </w:tc>
      </w:tr>
      <w:tr w14:paraId="6BF813C0">
        <w:tblPrEx>
          <w:tblCellMar>
            <w:top w:w="0" w:type="dxa"/>
            <w:left w:w="108" w:type="dxa"/>
            <w:bottom w:w="0" w:type="dxa"/>
            <w:right w:w="108" w:type="dxa"/>
          </w:tblCellMar>
        </w:tblPrEx>
        <w:trPr>
          <w:trHeight w:val="518" w:hRule="atLeast"/>
        </w:trPr>
        <w:tc>
          <w:tcPr>
            <w:tcW w:w="657" w:type="dxa"/>
            <w:tcBorders>
              <w:top w:val="nil"/>
              <w:left w:val="single" w:color="auto" w:sz="4" w:space="0"/>
              <w:bottom w:val="single" w:color="auto" w:sz="4" w:space="0"/>
              <w:right w:val="single" w:color="auto" w:sz="4" w:space="0"/>
            </w:tcBorders>
            <w:noWrap w:val="0"/>
            <w:vAlign w:val="center"/>
          </w:tcPr>
          <w:p w14:paraId="77E7D09F">
            <w:pPr>
              <w:spacing w:line="240" w:lineRule="exact"/>
              <w:jc w:val="center"/>
              <w:rPr>
                <w:rFonts w:hAnsi="仿宋_GB2312" w:cs="仿宋_GB2312"/>
                <w:sz w:val="20"/>
                <w:szCs w:val="20"/>
              </w:rPr>
            </w:pPr>
            <w:r>
              <w:rPr>
                <w:rFonts w:hint="eastAsia" w:hAnsi="仿宋_GB2312" w:cs="仿宋_GB2312"/>
                <w:sz w:val="20"/>
                <w:szCs w:val="20"/>
              </w:rPr>
              <w:t>3</w:t>
            </w:r>
          </w:p>
        </w:tc>
        <w:tc>
          <w:tcPr>
            <w:tcW w:w="958" w:type="dxa"/>
            <w:tcBorders>
              <w:top w:val="nil"/>
              <w:left w:val="single" w:color="auto" w:sz="4" w:space="0"/>
              <w:bottom w:val="single" w:color="auto" w:sz="4" w:space="0"/>
              <w:right w:val="single" w:color="auto" w:sz="4" w:space="0"/>
            </w:tcBorders>
            <w:noWrap w:val="0"/>
            <w:vAlign w:val="center"/>
          </w:tcPr>
          <w:p w14:paraId="77AD32CC">
            <w:pPr>
              <w:spacing w:line="240" w:lineRule="exact"/>
              <w:jc w:val="center"/>
              <w:rPr>
                <w:rFonts w:hAnsi="仿宋_GB2312" w:cs="仿宋_GB2312"/>
                <w:sz w:val="20"/>
                <w:szCs w:val="20"/>
              </w:rPr>
            </w:pPr>
            <w:r>
              <w:rPr>
                <w:rFonts w:hint="eastAsia" w:hAnsi="仿宋_GB2312" w:cs="仿宋_GB2312"/>
                <w:sz w:val="20"/>
                <w:szCs w:val="20"/>
              </w:rPr>
              <w:t>品牌规模</w:t>
            </w:r>
          </w:p>
        </w:tc>
        <w:tc>
          <w:tcPr>
            <w:tcW w:w="562" w:type="dxa"/>
            <w:tcBorders>
              <w:top w:val="nil"/>
              <w:left w:val="single" w:color="auto" w:sz="4" w:space="0"/>
              <w:bottom w:val="single" w:color="auto" w:sz="4" w:space="0"/>
              <w:right w:val="single" w:color="auto" w:sz="4" w:space="0"/>
            </w:tcBorders>
            <w:noWrap w:val="0"/>
            <w:vAlign w:val="center"/>
          </w:tcPr>
          <w:p w14:paraId="6EC3103F">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852" w:type="dxa"/>
            <w:tcBorders>
              <w:top w:val="nil"/>
              <w:left w:val="nil"/>
              <w:bottom w:val="single" w:color="auto" w:sz="4" w:space="0"/>
              <w:right w:val="single" w:color="auto" w:sz="4" w:space="0"/>
            </w:tcBorders>
            <w:noWrap w:val="0"/>
            <w:vAlign w:val="center"/>
          </w:tcPr>
          <w:p w14:paraId="067466F3">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6001" w:type="dxa"/>
            <w:tcBorders>
              <w:top w:val="nil"/>
              <w:left w:val="nil"/>
              <w:bottom w:val="single" w:color="auto" w:sz="4" w:space="0"/>
              <w:right w:val="single" w:color="auto" w:sz="4" w:space="0"/>
            </w:tcBorders>
            <w:noWrap w:val="0"/>
            <w:vAlign w:val="center"/>
          </w:tcPr>
          <w:p w14:paraId="3A08CD8D">
            <w:pPr>
              <w:spacing w:line="240" w:lineRule="exact"/>
              <w:rPr>
                <w:rFonts w:hAnsi="仿宋_GB2312" w:cs="仿宋_GB2312"/>
                <w:sz w:val="20"/>
                <w:szCs w:val="20"/>
              </w:rPr>
            </w:pPr>
            <w:r>
              <w:rPr>
                <w:rFonts w:hint="eastAsia" w:hAnsi="仿宋_GB2312" w:cs="仿宋_GB2312"/>
                <w:sz w:val="20"/>
                <w:szCs w:val="20"/>
              </w:rPr>
              <w:t>竞商人持有授权使用在有效期内的国家颁发的商标注册证用于该项目经营得2分,授权使用品牌用于该商旅项目经营得1分。无品牌不得分。</w:t>
            </w:r>
          </w:p>
        </w:tc>
        <w:tc>
          <w:tcPr>
            <w:tcW w:w="1029" w:type="dxa"/>
            <w:tcBorders>
              <w:top w:val="nil"/>
              <w:left w:val="nil"/>
              <w:bottom w:val="single" w:color="auto" w:sz="4" w:space="0"/>
              <w:right w:val="single" w:color="auto" w:sz="4" w:space="0"/>
            </w:tcBorders>
            <w:noWrap w:val="0"/>
            <w:vAlign w:val="center"/>
          </w:tcPr>
          <w:p w14:paraId="3F00D522">
            <w:pPr>
              <w:spacing w:line="240" w:lineRule="exact"/>
              <w:jc w:val="center"/>
              <w:rPr>
                <w:rFonts w:hAnsi="仿宋_GB2312" w:cs="仿宋_GB2312"/>
                <w:sz w:val="20"/>
                <w:szCs w:val="20"/>
              </w:rPr>
            </w:pPr>
            <w:r>
              <w:rPr>
                <w:rFonts w:hint="eastAsia" w:hAnsi="仿宋_GB2312" w:cs="仿宋_GB2312"/>
                <w:sz w:val="20"/>
                <w:szCs w:val="20"/>
              </w:rPr>
              <w:t>0-2</w:t>
            </w:r>
          </w:p>
        </w:tc>
      </w:tr>
      <w:tr w14:paraId="1DBC83F2">
        <w:tblPrEx>
          <w:tblCellMar>
            <w:top w:w="0" w:type="dxa"/>
            <w:left w:w="108" w:type="dxa"/>
            <w:bottom w:w="0" w:type="dxa"/>
            <w:right w:w="108" w:type="dxa"/>
          </w:tblCellMar>
        </w:tblPrEx>
        <w:trPr>
          <w:trHeight w:val="288" w:hRule="atLeast"/>
        </w:trPr>
        <w:tc>
          <w:tcPr>
            <w:tcW w:w="657" w:type="dxa"/>
            <w:tcBorders>
              <w:top w:val="single" w:color="auto" w:sz="4" w:space="0"/>
              <w:left w:val="single" w:color="auto" w:sz="4" w:space="0"/>
              <w:bottom w:val="single" w:color="auto" w:sz="4" w:space="0"/>
              <w:right w:val="single" w:color="auto" w:sz="4" w:space="0"/>
            </w:tcBorders>
            <w:noWrap w:val="0"/>
            <w:vAlign w:val="center"/>
          </w:tcPr>
          <w:p w14:paraId="63751EDD">
            <w:pPr>
              <w:spacing w:line="240" w:lineRule="exact"/>
              <w:jc w:val="center"/>
              <w:rPr>
                <w:rFonts w:hAnsi="仿宋_GB2312" w:cs="仿宋_GB2312"/>
                <w:sz w:val="20"/>
                <w:szCs w:val="20"/>
              </w:rPr>
            </w:pPr>
            <w:r>
              <w:rPr>
                <w:rFonts w:hint="eastAsia" w:hAnsi="仿宋_GB2312" w:cs="仿宋_GB2312"/>
                <w:sz w:val="20"/>
                <w:szCs w:val="20"/>
              </w:rPr>
              <w:t>4</w:t>
            </w:r>
          </w:p>
        </w:tc>
        <w:tc>
          <w:tcPr>
            <w:tcW w:w="958" w:type="dxa"/>
            <w:tcBorders>
              <w:top w:val="single" w:color="auto" w:sz="4" w:space="0"/>
              <w:left w:val="single" w:color="auto" w:sz="4" w:space="0"/>
              <w:bottom w:val="single" w:color="auto" w:sz="4" w:space="0"/>
              <w:right w:val="single" w:color="auto" w:sz="4" w:space="0"/>
            </w:tcBorders>
            <w:noWrap w:val="0"/>
            <w:vAlign w:val="center"/>
          </w:tcPr>
          <w:p w14:paraId="54E54F7D">
            <w:pPr>
              <w:spacing w:line="240" w:lineRule="exact"/>
              <w:jc w:val="center"/>
              <w:rPr>
                <w:rFonts w:hAnsi="仿宋_GB2312" w:cs="仿宋_GB2312"/>
                <w:sz w:val="20"/>
                <w:szCs w:val="20"/>
              </w:rPr>
            </w:pPr>
            <w:r>
              <w:rPr>
                <w:rFonts w:hint="eastAsia" w:hAnsi="仿宋_GB2312" w:cs="仿宋_GB2312"/>
                <w:sz w:val="20"/>
                <w:szCs w:val="20"/>
              </w:rPr>
              <w:t>经营情况</w:t>
            </w:r>
          </w:p>
        </w:tc>
        <w:tc>
          <w:tcPr>
            <w:tcW w:w="562" w:type="dxa"/>
            <w:tcBorders>
              <w:top w:val="single" w:color="auto" w:sz="4" w:space="0"/>
              <w:left w:val="single" w:color="auto" w:sz="4" w:space="0"/>
              <w:bottom w:val="single" w:color="auto" w:sz="4" w:space="0"/>
              <w:right w:val="single" w:color="auto" w:sz="4" w:space="0"/>
            </w:tcBorders>
            <w:noWrap w:val="0"/>
            <w:vAlign w:val="center"/>
          </w:tcPr>
          <w:p w14:paraId="3E090DED">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852" w:type="dxa"/>
            <w:tcBorders>
              <w:top w:val="single" w:color="auto" w:sz="4" w:space="0"/>
              <w:left w:val="nil"/>
              <w:bottom w:val="single" w:color="auto" w:sz="4" w:space="0"/>
              <w:right w:val="single" w:color="auto" w:sz="4" w:space="0"/>
            </w:tcBorders>
            <w:noWrap w:val="0"/>
            <w:vAlign w:val="center"/>
          </w:tcPr>
          <w:p w14:paraId="7C8FF5EA">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6001" w:type="dxa"/>
            <w:tcBorders>
              <w:top w:val="single" w:color="auto" w:sz="4" w:space="0"/>
              <w:left w:val="nil"/>
              <w:bottom w:val="single" w:color="auto" w:sz="4" w:space="0"/>
              <w:right w:val="single" w:color="auto" w:sz="4" w:space="0"/>
            </w:tcBorders>
            <w:noWrap w:val="0"/>
            <w:vAlign w:val="center"/>
          </w:tcPr>
          <w:p w14:paraId="5F0AA2D5">
            <w:pPr>
              <w:spacing w:line="240" w:lineRule="exact"/>
              <w:rPr>
                <w:rFonts w:hAnsi="仿宋_GB2312" w:cs="仿宋_GB2312"/>
                <w:sz w:val="20"/>
                <w:szCs w:val="20"/>
              </w:rPr>
            </w:pPr>
            <w:r>
              <w:rPr>
                <w:rFonts w:hint="eastAsia" w:hAnsi="仿宋_GB2312" w:cs="仿宋_GB2312"/>
                <w:sz w:val="20"/>
                <w:szCs w:val="20"/>
              </w:rPr>
              <w:t>提供自2023年</w:t>
            </w:r>
            <w:r>
              <w:rPr>
                <w:rFonts w:hint="eastAsia" w:hAnsi="仿宋_GB2312" w:cs="仿宋_GB2312"/>
                <w:sz w:val="20"/>
                <w:szCs w:val="20"/>
                <w:lang w:val="en-US" w:eastAsia="zh-CN"/>
              </w:rPr>
              <w:t>6</w:t>
            </w:r>
            <w:r>
              <w:rPr>
                <w:rFonts w:hint="eastAsia" w:hAnsi="仿宋_GB2312" w:cs="仿宋_GB2312"/>
                <w:sz w:val="20"/>
                <w:szCs w:val="20"/>
              </w:rPr>
              <w:t>月1日至今有过与铁路单位或其他单位有过合作的商旅项目，每提供一份合同得0.5分，最高2分；同一采购单位的按照一份业绩计算，未提供合同不得分。</w:t>
            </w:r>
          </w:p>
        </w:tc>
        <w:tc>
          <w:tcPr>
            <w:tcW w:w="1029" w:type="dxa"/>
            <w:tcBorders>
              <w:top w:val="single" w:color="auto" w:sz="4" w:space="0"/>
              <w:left w:val="nil"/>
              <w:bottom w:val="single" w:color="auto" w:sz="4" w:space="0"/>
              <w:right w:val="single" w:color="auto" w:sz="4" w:space="0"/>
            </w:tcBorders>
            <w:noWrap w:val="0"/>
            <w:vAlign w:val="center"/>
          </w:tcPr>
          <w:p w14:paraId="485A9AB7">
            <w:pPr>
              <w:spacing w:line="240" w:lineRule="exact"/>
              <w:jc w:val="center"/>
              <w:rPr>
                <w:rFonts w:hAnsi="仿宋_GB2312" w:cs="仿宋_GB2312"/>
                <w:sz w:val="20"/>
                <w:szCs w:val="20"/>
              </w:rPr>
            </w:pPr>
            <w:r>
              <w:rPr>
                <w:rFonts w:hint="eastAsia" w:hAnsi="仿宋_GB2312" w:cs="仿宋_GB2312"/>
                <w:sz w:val="20"/>
                <w:szCs w:val="20"/>
              </w:rPr>
              <w:t>0-2</w:t>
            </w:r>
          </w:p>
        </w:tc>
      </w:tr>
      <w:tr w14:paraId="6416D69C">
        <w:tblPrEx>
          <w:tblCellMar>
            <w:top w:w="0" w:type="dxa"/>
            <w:left w:w="108" w:type="dxa"/>
            <w:bottom w:w="0" w:type="dxa"/>
            <w:right w:w="108" w:type="dxa"/>
          </w:tblCellMar>
        </w:tblPrEx>
        <w:trPr>
          <w:trHeight w:val="1175" w:hRule="atLeast"/>
        </w:trPr>
        <w:tc>
          <w:tcPr>
            <w:tcW w:w="657" w:type="dxa"/>
            <w:tcBorders>
              <w:top w:val="single" w:color="auto" w:sz="4" w:space="0"/>
              <w:left w:val="single" w:color="auto" w:sz="4" w:space="0"/>
              <w:bottom w:val="single" w:color="auto" w:sz="4" w:space="0"/>
              <w:right w:val="single" w:color="auto" w:sz="4" w:space="0"/>
            </w:tcBorders>
            <w:noWrap w:val="0"/>
            <w:vAlign w:val="center"/>
          </w:tcPr>
          <w:p w14:paraId="088D3AB6">
            <w:pPr>
              <w:spacing w:line="240" w:lineRule="exact"/>
              <w:jc w:val="center"/>
              <w:rPr>
                <w:rFonts w:hAnsi="仿宋_GB2312" w:cs="仿宋_GB2312"/>
                <w:sz w:val="20"/>
                <w:szCs w:val="20"/>
              </w:rPr>
            </w:pPr>
            <w:r>
              <w:rPr>
                <w:rFonts w:hint="eastAsia" w:hAnsi="仿宋_GB2312" w:cs="仿宋_GB2312"/>
                <w:sz w:val="20"/>
                <w:szCs w:val="20"/>
              </w:rPr>
              <w:t>5</w:t>
            </w:r>
          </w:p>
        </w:tc>
        <w:tc>
          <w:tcPr>
            <w:tcW w:w="958" w:type="dxa"/>
            <w:tcBorders>
              <w:top w:val="single" w:color="auto" w:sz="4" w:space="0"/>
              <w:left w:val="single" w:color="auto" w:sz="4" w:space="0"/>
              <w:bottom w:val="single" w:color="auto" w:sz="4" w:space="0"/>
              <w:right w:val="single" w:color="auto" w:sz="4" w:space="0"/>
            </w:tcBorders>
            <w:noWrap w:val="0"/>
            <w:vAlign w:val="center"/>
          </w:tcPr>
          <w:p w14:paraId="4B0C387B">
            <w:pPr>
              <w:spacing w:line="240" w:lineRule="exact"/>
              <w:jc w:val="center"/>
              <w:rPr>
                <w:rFonts w:hAnsi="仿宋_GB2312" w:cs="仿宋_GB2312"/>
                <w:sz w:val="20"/>
                <w:szCs w:val="20"/>
              </w:rPr>
            </w:pPr>
            <w:r>
              <w:rPr>
                <w:rFonts w:hint="eastAsia" w:hAnsi="仿宋_GB2312" w:cs="仿宋_GB2312"/>
                <w:sz w:val="20"/>
                <w:szCs w:val="20"/>
              </w:rPr>
              <w:t>运营方案</w:t>
            </w:r>
          </w:p>
        </w:tc>
        <w:tc>
          <w:tcPr>
            <w:tcW w:w="562" w:type="dxa"/>
            <w:tcBorders>
              <w:top w:val="single" w:color="auto" w:sz="4" w:space="0"/>
              <w:left w:val="single" w:color="auto" w:sz="4" w:space="0"/>
              <w:bottom w:val="single" w:color="auto" w:sz="4" w:space="0"/>
              <w:right w:val="single" w:color="auto" w:sz="4" w:space="0"/>
            </w:tcBorders>
            <w:noWrap w:val="0"/>
            <w:vAlign w:val="center"/>
          </w:tcPr>
          <w:p w14:paraId="2FEFD9F5">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852" w:type="dxa"/>
            <w:tcBorders>
              <w:top w:val="single" w:color="auto" w:sz="4" w:space="0"/>
              <w:left w:val="nil"/>
              <w:bottom w:val="single" w:color="auto" w:sz="4" w:space="0"/>
              <w:right w:val="single" w:color="auto" w:sz="4" w:space="0"/>
            </w:tcBorders>
            <w:noWrap w:val="0"/>
            <w:vAlign w:val="center"/>
          </w:tcPr>
          <w:p w14:paraId="5F9172F0">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6001" w:type="dxa"/>
            <w:tcBorders>
              <w:top w:val="single" w:color="auto" w:sz="4" w:space="0"/>
              <w:left w:val="nil"/>
              <w:bottom w:val="single" w:color="auto" w:sz="4" w:space="0"/>
              <w:right w:val="single" w:color="auto" w:sz="4" w:space="0"/>
            </w:tcBorders>
            <w:noWrap w:val="0"/>
            <w:vAlign w:val="center"/>
          </w:tcPr>
          <w:p w14:paraId="211A8818">
            <w:pPr>
              <w:spacing w:line="240" w:lineRule="exact"/>
              <w:rPr>
                <w:rFonts w:hAnsi="仿宋_GB2312" w:cs="仿宋_GB2312"/>
                <w:sz w:val="20"/>
                <w:szCs w:val="20"/>
              </w:rPr>
            </w:pPr>
            <w:r>
              <w:rPr>
                <w:rFonts w:hint="eastAsia" w:hAnsi="仿宋_GB2312" w:cs="仿宋_GB2312"/>
                <w:sz w:val="20"/>
                <w:szCs w:val="20"/>
              </w:rPr>
              <w:t>运营方案：包括项目机构设立方案、内部组织结构、市场分析、运营管理规划、经营策略、营销策略、人力资源培训计划、服务标准、风险规避措施等内容。运营方案结合竞商点位进行具体分析且内容详尽的得2分；运营方案未结合点位要求不完备的得1分,无方案的不得分。</w:t>
            </w:r>
          </w:p>
        </w:tc>
        <w:tc>
          <w:tcPr>
            <w:tcW w:w="1029" w:type="dxa"/>
            <w:tcBorders>
              <w:top w:val="single" w:color="auto" w:sz="4" w:space="0"/>
              <w:left w:val="nil"/>
              <w:bottom w:val="single" w:color="auto" w:sz="4" w:space="0"/>
              <w:right w:val="single" w:color="auto" w:sz="4" w:space="0"/>
            </w:tcBorders>
            <w:noWrap w:val="0"/>
            <w:vAlign w:val="center"/>
          </w:tcPr>
          <w:p w14:paraId="01288336">
            <w:pPr>
              <w:spacing w:line="240" w:lineRule="exact"/>
              <w:jc w:val="center"/>
              <w:rPr>
                <w:rFonts w:hAnsi="仿宋_GB2312" w:cs="仿宋_GB2312"/>
                <w:sz w:val="20"/>
                <w:szCs w:val="20"/>
              </w:rPr>
            </w:pPr>
            <w:r>
              <w:rPr>
                <w:rFonts w:hint="eastAsia" w:hAnsi="仿宋_GB2312" w:cs="仿宋_GB2312"/>
                <w:sz w:val="20"/>
                <w:szCs w:val="20"/>
              </w:rPr>
              <w:t>0-2</w:t>
            </w:r>
          </w:p>
        </w:tc>
      </w:tr>
      <w:tr w14:paraId="19BEF2CC">
        <w:tblPrEx>
          <w:tblCellMar>
            <w:top w:w="0" w:type="dxa"/>
            <w:left w:w="108" w:type="dxa"/>
            <w:bottom w:w="0" w:type="dxa"/>
            <w:right w:w="108" w:type="dxa"/>
          </w:tblCellMar>
        </w:tblPrEx>
        <w:trPr>
          <w:trHeight w:val="271" w:hRule="atLeast"/>
        </w:trPr>
        <w:tc>
          <w:tcPr>
            <w:tcW w:w="657" w:type="dxa"/>
            <w:tcBorders>
              <w:top w:val="single" w:color="auto" w:sz="4" w:space="0"/>
              <w:left w:val="single" w:color="auto" w:sz="4" w:space="0"/>
              <w:bottom w:val="nil"/>
              <w:right w:val="single" w:color="auto" w:sz="4" w:space="0"/>
            </w:tcBorders>
            <w:noWrap w:val="0"/>
            <w:vAlign w:val="center"/>
          </w:tcPr>
          <w:p w14:paraId="1A6A4C4E">
            <w:pPr>
              <w:spacing w:line="240" w:lineRule="exact"/>
              <w:jc w:val="center"/>
              <w:rPr>
                <w:rFonts w:hAnsi="仿宋_GB2312" w:cs="仿宋_GB2312"/>
                <w:sz w:val="20"/>
                <w:szCs w:val="20"/>
              </w:rPr>
            </w:pPr>
            <w:r>
              <w:rPr>
                <w:rFonts w:hint="eastAsia" w:hAnsi="仿宋_GB2312" w:cs="仿宋_GB2312"/>
                <w:sz w:val="20"/>
                <w:szCs w:val="20"/>
              </w:rPr>
              <w:t>6</w:t>
            </w:r>
          </w:p>
        </w:tc>
        <w:tc>
          <w:tcPr>
            <w:tcW w:w="958" w:type="dxa"/>
            <w:tcBorders>
              <w:top w:val="single" w:color="auto" w:sz="4" w:space="0"/>
              <w:left w:val="single" w:color="auto" w:sz="4" w:space="0"/>
              <w:bottom w:val="nil"/>
              <w:right w:val="single" w:color="auto" w:sz="4" w:space="0"/>
            </w:tcBorders>
            <w:noWrap w:val="0"/>
            <w:vAlign w:val="center"/>
          </w:tcPr>
          <w:p w14:paraId="71F93C34">
            <w:pPr>
              <w:spacing w:line="240" w:lineRule="exact"/>
              <w:jc w:val="center"/>
              <w:rPr>
                <w:rFonts w:hAnsi="仿宋_GB2312" w:cs="仿宋_GB2312"/>
                <w:sz w:val="20"/>
                <w:szCs w:val="20"/>
              </w:rPr>
            </w:pPr>
            <w:r>
              <w:rPr>
                <w:rFonts w:hint="eastAsia" w:hAnsi="仿宋_GB2312" w:cs="仿宋_GB2312"/>
                <w:sz w:val="20"/>
                <w:szCs w:val="20"/>
              </w:rPr>
              <w:t>形象方案</w:t>
            </w:r>
          </w:p>
        </w:tc>
        <w:tc>
          <w:tcPr>
            <w:tcW w:w="562" w:type="dxa"/>
            <w:tcBorders>
              <w:top w:val="single" w:color="auto" w:sz="4" w:space="0"/>
              <w:left w:val="single" w:color="auto" w:sz="4" w:space="0"/>
              <w:bottom w:val="nil"/>
              <w:right w:val="single" w:color="auto" w:sz="4" w:space="0"/>
            </w:tcBorders>
            <w:noWrap w:val="0"/>
            <w:vAlign w:val="center"/>
          </w:tcPr>
          <w:p w14:paraId="3ADE0966">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852" w:type="dxa"/>
            <w:tcBorders>
              <w:top w:val="single" w:color="auto" w:sz="4" w:space="0"/>
              <w:left w:val="nil"/>
              <w:bottom w:val="single" w:color="auto" w:sz="4" w:space="0"/>
              <w:right w:val="single" w:color="auto" w:sz="4" w:space="0"/>
            </w:tcBorders>
            <w:noWrap w:val="0"/>
            <w:vAlign w:val="center"/>
          </w:tcPr>
          <w:p w14:paraId="67E5D0B2">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6001" w:type="dxa"/>
            <w:tcBorders>
              <w:top w:val="single" w:color="auto" w:sz="4" w:space="0"/>
              <w:left w:val="nil"/>
              <w:bottom w:val="single" w:color="auto" w:sz="4" w:space="0"/>
              <w:right w:val="single" w:color="auto" w:sz="4" w:space="0"/>
            </w:tcBorders>
            <w:noWrap w:val="0"/>
            <w:vAlign w:val="center"/>
          </w:tcPr>
          <w:p w14:paraId="37696E02">
            <w:pPr>
              <w:spacing w:line="240" w:lineRule="exact"/>
              <w:rPr>
                <w:rFonts w:hAnsi="仿宋_GB2312" w:cs="仿宋_GB2312"/>
                <w:sz w:val="20"/>
                <w:szCs w:val="20"/>
              </w:rPr>
            </w:pPr>
            <w:r>
              <w:rPr>
                <w:rFonts w:hint="eastAsia" w:hAnsi="仿宋_GB2312" w:cs="仿宋_GB2312"/>
                <w:sz w:val="20"/>
                <w:szCs w:val="20"/>
              </w:rPr>
              <w:t>装修设计效果合理性、美观性：装修设计方案主题突出、设计专业，整体形象美观，与站房风格协调，布局合理，具有较强视觉感观的得2分，装修设计方案未与站房风格一致，得1分，无装修设计方案的此项不得分。</w:t>
            </w:r>
          </w:p>
        </w:tc>
        <w:tc>
          <w:tcPr>
            <w:tcW w:w="1029" w:type="dxa"/>
            <w:tcBorders>
              <w:top w:val="single" w:color="auto" w:sz="4" w:space="0"/>
              <w:left w:val="nil"/>
              <w:bottom w:val="single" w:color="auto" w:sz="4" w:space="0"/>
              <w:right w:val="single" w:color="auto" w:sz="4" w:space="0"/>
            </w:tcBorders>
            <w:noWrap w:val="0"/>
            <w:vAlign w:val="center"/>
          </w:tcPr>
          <w:p w14:paraId="0DEC9D2D">
            <w:pPr>
              <w:spacing w:line="240" w:lineRule="exact"/>
              <w:jc w:val="center"/>
              <w:rPr>
                <w:rFonts w:hAnsi="仿宋_GB2312" w:cs="仿宋_GB2312"/>
                <w:sz w:val="20"/>
                <w:szCs w:val="20"/>
              </w:rPr>
            </w:pPr>
            <w:r>
              <w:rPr>
                <w:rFonts w:hint="eastAsia" w:hAnsi="仿宋_GB2312" w:cs="仿宋_GB2312"/>
                <w:sz w:val="20"/>
                <w:szCs w:val="20"/>
              </w:rPr>
              <w:t>0-2</w:t>
            </w:r>
          </w:p>
        </w:tc>
      </w:tr>
      <w:tr w14:paraId="602448D9">
        <w:tblPrEx>
          <w:tblCellMar>
            <w:top w:w="0" w:type="dxa"/>
            <w:left w:w="108" w:type="dxa"/>
            <w:bottom w:w="0" w:type="dxa"/>
            <w:right w:w="108" w:type="dxa"/>
          </w:tblCellMar>
        </w:tblPrEx>
        <w:trPr>
          <w:trHeight w:val="416" w:hRule="atLeast"/>
        </w:trPr>
        <w:tc>
          <w:tcPr>
            <w:tcW w:w="657" w:type="dxa"/>
            <w:tcBorders>
              <w:top w:val="single" w:color="auto" w:sz="4" w:space="0"/>
              <w:left w:val="single" w:color="auto" w:sz="4" w:space="0"/>
              <w:right w:val="single" w:color="auto" w:sz="4" w:space="0"/>
            </w:tcBorders>
            <w:noWrap w:val="0"/>
            <w:vAlign w:val="center"/>
          </w:tcPr>
          <w:p w14:paraId="2478C24D">
            <w:pPr>
              <w:spacing w:line="240" w:lineRule="exact"/>
              <w:jc w:val="center"/>
              <w:rPr>
                <w:rFonts w:hAnsi="仿宋_GB2312" w:cs="仿宋_GB2312"/>
                <w:sz w:val="20"/>
                <w:szCs w:val="20"/>
              </w:rPr>
            </w:pPr>
            <w:r>
              <w:rPr>
                <w:rFonts w:hint="eastAsia" w:hAnsi="仿宋_GB2312" w:cs="仿宋_GB2312"/>
                <w:sz w:val="20"/>
                <w:szCs w:val="20"/>
              </w:rPr>
              <w:t>7</w:t>
            </w:r>
          </w:p>
        </w:tc>
        <w:tc>
          <w:tcPr>
            <w:tcW w:w="958" w:type="dxa"/>
            <w:tcBorders>
              <w:top w:val="single" w:color="auto" w:sz="4" w:space="0"/>
              <w:left w:val="single" w:color="auto" w:sz="4" w:space="0"/>
              <w:right w:val="single" w:color="auto" w:sz="4" w:space="0"/>
            </w:tcBorders>
            <w:noWrap w:val="0"/>
            <w:vAlign w:val="center"/>
          </w:tcPr>
          <w:p w14:paraId="6944B3F9">
            <w:pPr>
              <w:spacing w:line="240" w:lineRule="exact"/>
              <w:jc w:val="center"/>
              <w:rPr>
                <w:rFonts w:hAnsi="仿宋_GB2312" w:cs="仿宋_GB2312"/>
                <w:sz w:val="20"/>
                <w:szCs w:val="20"/>
              </w:rPr>
            </w:pPr>
            <w:r>
              <w:rPr>
                <w:rFonts w:hint="eastAsia" w:hAnsi="仿宋_GB2312" w:cs="仿宋_GB2312"/>
                <w:sz w:val="20"/>
                <w:szCs w:val="20"/>
              </w:rPr>
              <w:t>安全管理体系</w:t>
            </w:r>
          </w:p>
        </w:tc>
        <w:tc>
          <w:tcPr>
            <w:tcW w:w="562" w:type="dxa"/>
            <w:tcBorders>
              <w:top w:val="single" w:color="auto" w:sz="4" w:space="0"/>
              <w:left w:val="single" w:color="auto" w:sz="4" w:space="0"/>
              <w:right w:val="single" w:color="auto" w:sz="4" w:space="0"/>
            </w:tcBorders>
            <w:noWrap w:val="0"/>
            <w:vAlign w:val="center"/>
          </w:tcPr>
          <w:p w14:paraId="39F6582B">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852" w:type="dxa"/>
            <w:tcBorders>
              <w:top w:val="nil"/>
              <w:left w:val="nil"/>
              <w:right w:val="single" w:color="auto" w:sz="4" w:space="0"/>
            </w:tcBorders>
            <w:noWrap w:val="0"/>
            <w:vAlign w:val="center"/>
          </w:tcPr>
          <w:p w14:paraId="713DCCC8">
            <w:pPr>
              <w:spacing w:line="240" w:lineRule="exact"/>
              <w:jc w:val="center"/>
              <w:rPr>
                <w:rFonts w:hAnsi="仿宋_GB2312" w:cs="仿宋_GB2312"/>
                <w:b/>
                <w:bCs/>
                <w:sz w:val="20"/>
                <w:szCs w:val="20"/>
              </w:rPr>
            </w:pPr>
            <w:r>
              <w:rPr>
                <w:rFonts w:hint="eastAsia" w:hAnsi="仿宋_GB2312" w:cs="仿宋_GB2312"/>
                <w:b/>
                <w:bCs/>
                <w:sz w:val="20"/>
                <w:szCs w:val="20"/>
              </w:rPr>
              <w:t>2</w:t>
            </w:r>
          </w:p>
        </w:tc>
        <w:tc>
          <w:tcPr>
            <w:tcW w:w="6001" w:type="dxa"/>
            <w:tcBorders>
              <w:top w:val="nil"/>
              <w:left w:val="nil"/>
              <w:right w:val="single" w:color="auto" w:sz="4" w:space="0"/>
            </w:tcBorders>
            <w:noWrap w:val="0"/>
            <w:vAlign w:val="center"/>
          </w:tcPr>
          <w:p w14:paraId="1D80C182">
            <w:pPr>
              <w:spacing w:line="240" w:lineRule="exact"/>
              <w:rPr>
                <w:rFonts w:hAnsi="仿宋_GB2312" w:cs="仿宋_GB2312"/>
                <w:sz w:val="20"/>
                <w:szCs w:val="20"/>
              </w:rPr>
            </w:pPr>
            <w:r>
              <w:rPr>
                <w:rFonts w:hint="eastAsia" w:hAnsi="仿宋_GB2312" w:cs="仿宋_GB2312"/>
                <w:sz w:val="20"/>
                <w:szCs w:val="20"/>
              </w:rPr>
              <w:t>安全管理体系：方案围绕食品安全、消防安全、施工安全、舆情处置安全等方面。评委依据方案详尽情况打分。安全管理体系方案结合竞商点位进行具体分析且内容详尽的得2分；安全管理体系方案未结合点位要求不完备的得1分,无方案的不得分。</w:t>
            </w:r>
          </w:p>
        </w:tc>
        <w:tc>
          <w:tcPr>
            <w:tcW w:w="1029" w:type="dxa"/>
            <w:tcBorders>
              <w:top w:val="nil"/>
              <w:left w:val="nil"/>
              <w:right w:val="single" w:color="auto" w:sz="4" w:space="0"/>
            </w:tcBorders>
            <w:noWrap w:val="0"/>
            <w:vAlign w:val="center"/>
          </w:tcPr>
          <w:p w14:paraId="2D84D711">
            <w:pPr>
              <w:spacing w:line="240" w:lineRule="exact"/>
              <w:jc w:val="center"/>
              <w:rPr>
                <w:rFonts w:hAnsi="仿宋_GB2312" w:cs="仿宋_GB2312"/>
                <w:sz w:val="20"/>
                <w:szCs w:val="20"/>
              </w:rPr>
            </w:pPr>
            <w:r>
              <w:rPr>
                <w:rFonts w:hint="eastAsia" w:hAnsi="仿宋_GB2312" w:cs="仿宋_GB2312"/>
                <w:sz w:val="20"/>
                <w:szCs w:val="20"/>
              </w:rPr>
              <w:t>0-2</w:t>
            </w:r>
          </w:p>
          <w:p w14:paraId="04FBB228">
            <w:pPr>
              <w:spacing w:line="240" w:lineRule="exact"/>
              <w:jc w:val="center"/>
              <w:rPr>
                <w:rFonts w:hAnsi="仿宋_GB2312" w:cs="仿宋_GB2312"/>
                <w:sz w:val="20"/>
                <w:szCs w:val="20"/>
              </w:rPr>
            </w:pPr>
          </w:p>
        </w:tc>
      </w:tr>
      <w:tr w14:paraId="4FCC6FC3">
        <w:tblPrEx>
          <w:tblCellMar>
            <w:top w:w="0" w:type="dxa"/>
            <w:left w:w="108" w:type="dxa"/>
            <w:bottom w:w="0" w:type="dxa"/>
            <w:right w:w="108" w:type="dxa"/>
          </w:tblCellMar>
        </w:tblPrEx>
        <w:trPr>
          <w:trHeight w:val="115" w:hRule="atLeast"/>
        </w:trPr>
        <w:tc>
          <w:tcPr>
            <w:tcW w:w="3029" w:type="dxa"/>
            <w:gridSpan w:val="4"/>
            <w:vMerge w:val="restart"/>
            <w:tcBorders>
              <w:top w:val="single" w:color="auto" w:sz="4" w:space="0"/>
              <w:left w:val="single" w:color="auto" w:sz="4" w:space="0"/>
              <w:right w:val="single" w:color="auto" w:sz="4" w:space="0"/>
            </w:tcBorders>
            <w:noWrap w:val="0"/>
            <w:vAlign w:val="center"/>
          </w:tcPr>
          <w:p w14:paraId="39E19FD0">
            <w:pPr>
              <w:jc w:val="center"/>
              <w:rPr>
                <w:rFonts w:hAnsi="仿宋_GB2312" w:cs="仿宋_GB2312"/>
                <w:b/>
                <w:bCs/>
                <w:sz w:val="20"/>
                <w:szCs w:val="20"/>
              </w:rPr>
            </w:pPr>
            <w:r>
              <w:rPr>
                <w:rFonts w:hint="eastAsia" w:hAnsi="仿宋_GB2312" w:cs="仿宋_GB2312"/>
                <w:b/>
                <w:bCs/>
                <w:sz w:val="20"/>
                <w:szCs w:val="20"/>
              </w:rPr>
              <w:t>其他加减分规则</w:t>
            </w:r>
          </w:p>
        </w:tc>
        <w:tc>
          <w:tcPr>
            <w:tcW w:w="6001" w:type="dxa"/>
            <w:tcBorders>
              <w:top w:val="single" w:color="auto" w:sz="4" w:space="0"/>
              <w:left w:val="nil"/>
              <w:bottom w:val="single" w:color="auto" w:sz="4" w:space="0"/>
              <w:right w:val="single" w:color="auto" w:sz="4" w:space="0"/>
            </w:tcBorders>
            <w:noWrap w:val="0"/>
            <w:vAlign w:val="center"/>
          </w:tcPr>
          <w:p w14:paraId="4FC8E081">
            <w:pPr>
              <w:spacing w:line="240" w:lineRule="exact"/>
              <w:rPr>
                <w:rFonts w:hAnsi="仿宋_GB2312" w:cs="仿宋_GB2312"/>
                <w:sz w:val="20"/>
                <w:szCs w:val="20"/>
              </w:rPr>
            </w:pPr>
            <w:r>
              <w:rPr>
                <w:rFonts w:hint="eastAsia" w:hAnsi="宋体" w:cs="宋体"/>
                <w:sz w:val="20"/>
                <w:szCs w:val="20"/>
              </w:rPr>
              <w:t>上期合作商参与该点位竞商,合作商在合作期间该点位按合同支付费用良好额外加2分，未按合同履约额外减1-2分（上一期合同履约费用支付迟交1次减1分最多减2分）,该证明由合同签订方出具。</w:t>
            </w:r>
          </w:p>
        </w:tc>
        <w:tc>
          <w:tcPr>
            <w:tcW w:w="1029" w:type="dxa"/>
            <w:tcBorders>
              <w:top w:val="single" w:color="auto" w:sz="4" w:space="0"/>
              <w:left w:val="nil"/>
              <w:bottom w:val="single" w:color="auto" w:sz="4" w:space="0"/>
              <w:right w:val="single" w:color="auto" w:sz="4" w:space="0"/>
            </w:tcBorders>
            <w:noWrap w:val="0"/>
            <w:vAlign w:val="center"/>
          </w:tcPr>
          <w:p w14:paraId="689D6099">
            <w:pPr>
              <w:jc w:val="center"/>
              <w:rPr>
                <w:rFonts w:hAnsi="仿宋_GB2312" w:cs="仿宋_GB2312"/>
                <w:sz w:val="20"/>
                <w:szCs w:val="20"/>
              </w:rPr>
            </w:pPr>
          </w:p>
        </w:tc>
      </w:tr>
      <w:tr w14:paraId="17E7340A">
        <w:tblPrEx>
          <w:tblCellMar>
            <w:top w:w="0" w:type="dxa"/>
            <w:left w:w="108" w:type="dxa"/>
            <w:bottom w:w="0" w:type="dxa"/>
            <w:right w:w="108" w:type="dxa"/>
          </w:tblCellMar>
        </w:tblPrEx>
        <w:trPr>
          <w:trHeight w:val="1186" w:hRule="atLeast"/>
        </w:trPr>
        <w:tc>
          <w:tcPr>
            <w:tcW w:w="3029" w:type="dxa"/>
            <w:gridSpan w:val="4"/>
            <w:vMerge w:val="continue"/>
            <w:tcBorders>
              <w:left w:val="single" w:color="auto" w:sz="4" w:space="0"/>
              <w:bottom w:val="single" w:color="auto" w:sz="4" w:space="0"/>
              <w:right w:val="single" w:color="auto" w:sz="4" w:space="0"/>
            </w:tcBorders>
            <w:noWrap w:val="0"/>
            <w:vAlign w:val="center"/>
          </w:tcPr>
          <w:p w14:paraId="1FE44D64">
            <w:pPr>
              <w:jc w:val="center"/>
              <w:rPr>
                <w:rFonts w:hAnsi="仿宋_GB2312" w:cs="仿宋_GB2312"/>
                <w:b/>
                <w:bCs/>
                <w:sz w:val="20"/>
                <w:szCs w:val="20"/>
              </w:rPr>
            </w:pPr>
          </w:p>
        </w:tc>
        <w:tc>
          <w:tcPr>
            <w:tcW w:w="6001" w:type="dxa"/>
            <w:tcBorders>
              <w:top w:val="single" w:color="auto" w:sz="4" w:space="0"/>
              <w:left w:val="nil"/>
              <w:bottom w:val="single" w:color="auto" w:sz="4" w:space="0"/>
              <w:right w:val="single" w:color="auto" w:sz="4" w:space="0"/>
            </w:tcBorders>
            <w:noWrap w:val="0"/>
            <w:vAlign w:val="center"/>
          </w:tcPr>
          <w:p w14:paraId="4EC21DBB">
            <w:pPr>
              <w:spacing w:line="240" w:lineRule="exact"/>
              <w:rPr>
                <w:rFonts w:hAnsi="仿宋_GB2312" w:cs="仿宋_GB2312"/>
                <w:sz w:val="20"/>
                <w:szCs w:val="20"/>
              </w:rPr>
            </w:pPr>
            <w:r>
              <w:rPr>
                <w:rFonts w:hint="eastAsia" w:hAnsi="仿宋_GB2312" w:cs="仿宋_GB2312"/>
                <w:sz w:val="20"/>
                <w:szCs w:val="20"/>
              </w:rPr>
              <w:t>上期合作商参与该点位竞商,根据《中国铁路上海局集团有限公司客站商业消防安全负积分管理办法（试行）》的通知，在积分周期内（自2024年1月1日截至2024年12月31日），0&lt;负面积分≤5分的不扣分，5&lt;负面积分≤10分的扣1分，11&lt;负面积分≤14分的扣2分（负面积分值为竞商人在该合作商旅点位负面积分累计数）。</w:t>
            </w:r>
          </w:p>
          <w:p w14:paraId="669DB715">
            <w:pPr>
              <w:spacing w:line="240" w:lineRule="exact"/>
              <w:rPr>
                <w:rFonts w:hAnsi="仿宋_GB2312" w:cs="仿宋_GB2312"/>
                <w:sz w:val="20"/>
                <w:szCs w:val="20"/>
              </w:rPr>
            </w:pPr>
          </w:p>
        </w:tc>
        <w:tc>
          <w:tcPr>
            <w:tcW w:w="1029" w:type="dxa"/>
            <w:tcBorders>
              <w:top w:val="single" w:color="auto" w:sz="4" w:space="0"/>
              <w:left w:val="nil"/>
              <w:bottom w:val="single" w:color="auto" w:sz="4" w:space="0"/>
              <w:right w:val="single" w:color="auto" w:sz="4" w:space="0"/>
            </w:tcBorders>
            <w:noWrap w:val="0"/>
            <w:vAlign w:val="center"/>
          </w:tcPr>
          <w:p w14:paraId="25FFA1F8">
            <w:pPr>
              <w:jc w:val="center"/>
              <w:rPr>
                <w:rFonts w:hAnsi="仿宋_GB2312" w:cs="仿宋_GB2312"/>
                <w:sz w:val="20"/>
                <w:szCs w:val="20"/>
              </w:rPr>
            </w:pPr>
          </w:p>
        </w:tc>
      </w:tr>
      <w:tr w14:paraId="45C717AA">
        <w:tblPrEx>
          <w:tblCellMar>
            <w:top w:w="0" w:type="dxa"/>
            <w:left w:w="108" w:type="dxa"/>
            <w:bottom w:w="0" w:type="dxa"/>
            <w:right w:w="108" w:type="dxa"/>
          </w:tblCellMar>
        </w:tblPrEx>
        <w:trPr>
          <w:trHeight w:val="691" w:hRule="atLeast"/>
        </w:trPr>
        <w:tc>
          <w:tcPr>
            <w:tcW w:w="3029" w:type="dxa"/>
            <w:gridSpan w:val="4"/>
            <w:tcBorders>
              <w:top w:val="single" w:color="auto" w:sz="4" w:space="0"/>
              <w:left w:val="single" w:color="auto" w:sz="4" w:space="0"/>
              <w:bottom w:val="single" w:color="auto" w:sz="4" w:space="0"/>
              <w:right w:val="single" w:color="auto" w:sz="4" w:space="0"/>
            </w:tcBorders>
            <w:noWrap w:val="0"/>
            <w:vAlign w:val="center"/>
          </w:tcPr>
          <w:p w14:paraId="7369F90E">
            <w:pPr>
              <w:jc w:val="center"/>
              <w:rPr>
                <w:rFonts w:hint="eastAsia" w:hAnsi="仿宋_GB2312" w:eastAsia="仿宋_GB2312" w:cs="仿宋_GB2312"/>
                <w:b/>
                <w:bCs/>
                <w:sz w:val="20"/>
                <w:szCs w:val="20"/>
                <w:lang w:eastAsia="zh-CN"/>
              </w:rPr>
            </w:pPr>
            <w:r>
              <w:rPr>
                <w:rFonts w:hint="eastAsia" w:hAnsi="仿宋_GB2312" w:cs="仿宋_GB2312"/>
                <w:b/>
                <w:bCs/>
                <w:sz w:val="20"/>
                <w:szCs w:val="20"/>
                <w:lang w:eastAsia="zh-CN"/>
              </w:rPr>
              <w:t>合计</w:t>
            </w:r>
          </w:p>
        </w:tc>
        <w:tc>
          <w:tcPr>
            <w:tcW w:w="6001" w:type="dxa"/>
            <w:tcBorders>
              <w:top w:val="single" w:color="auto" w:sz="4" w:space="0"/>
              <w:left w:val="single" w:color="auto" w:sz="4" w:space="0"/>
              <w:bottom w:val="single" w:color="auto" w:sz="4" w:space="0"/>
              <w:right w:val="single" w:color="auto" w:sz="4" w:space="0"/>
            </w:tcBorders>
            <w:noWrap w:val="0"/>
            <w:vAlign w:val="center"/>
          </w:tcPr>
          <w:p w14:paraId="711B06AB">
            <w:pPr>
              <w:spacing w:line="240" w:lineRule="exact"/>
              <w:rPr>
                <w:rFonts w:hAnsi="仿宋_GB2312" w:cs="仿宋_GB2312"/>
                <w:sz w:val="20"/>
                <w:szCs w:val="20"/>
              </w:rPr>
            </w:pPr>
          </w:p>
        </w:tc>
        <w:tc>
          <w:tcPr>
            <w:tcW w:w="1029" w:type="dxa"/>
            <w:tcBorders>
              <w:top w:val="single" w:color="auto" w:sz="4" w:space="0"/>
              <w:left w:val="nil"/>
              <w:bottom w:val="single" w:color="auto" w:sz="4" w:space="0"/>
              <w:right w:val="single" w:color="auto" w:sz="4" w:space="0"/>
            </w:tcBorders>
            <w:noWrap w:val="0"/>
            <w:vAlign w:val="center"/>
          </w:tcPr>
          <w:p w14:paraId="7866213F">
            <w:pPr>
              <w:jc w:val="center"/>
              <w:rPr>
                <w:rFonts w:hAnsi="仿宋_GB2312" w:cs="仿宋_GB2312"/>
                <w:sz w:val="20"/>
                <w:szCs w:val="20"/>
              </w:rPr>
            </w:pPr>
          </w:p>
        </w:tc>
      </w:tr>
      <w:bookmarkEnd w:id="1085"/>
      <w:bookmarkEnd w:id="1086"/>
    </w:tbl>
    <w:p w14:paraId="5ACF3C04">
      <w:pPr>
        <w:snapToGrid w:val="0"/>
        <w:spacing w:after="50" w:line="360" w:lineRule="auto"/>
        <w:rPr>
          <w:rFonts w:ascii="宋体" w:hAnsi="宋体"/>
          <w:b/>
          <w:bCs/>
          <w:color w:val="000000" w:themeColor="text1"/>
        </w:rPr>
      </w:pPr>
    </w:p>
    <w:p w14:paraId="5E1A4F92">
      <w:pPr>
        <w:rPr>
          <w:color w:val="000000" w:themeColor="text1"/>
        </w:rPr>
      </w:pPr>
    </w:p>
    <w:p w14:paraId="38DE3CF4">
      <w:pPr>
        <w:rPr>
          <w:color w:val="000000" w:themeColor="text1"/>
        </w:rPr>
      </w:pPr>
    </w:p>
    <w:p w14:paraId="7FAAACD1">
      <w:pPr>
        <w:pStyle w:val="63"/>
        <w:ind w:firstLine="420"/>
        <w:rPr>
          <w:color w:val="000000" w:themeColor="text1"/>
        </w:rPr>
      </w:pPr>
    </w:p>
    <w:p w14:paraId="4D793A43">
      <w:pPr>
        <w:wordWrap w:val="0"/>
        <w:spacing w:line="360" w:lineRule="auto"/>
        <w:ind w:right="480"/>
        <w:rPr>
          <w:color w:val="000000" w:themeColor="text1"/>
        </w:rPr>
      </w:pPr>
      <w:r>
        <w:rPr>
          <w:rFonts w:ascii="宋体" w:hAnsi="宋体"/>
          <w:color w:val="000000" w:themeColor="text1"/>
        </w:rPr>
        <w:t>注：上述相关评审要素应由竞商人提供相应证明材料</w:t>
      </w:r>
    </w:p>
    <w:p w14:paraId="27E3B2FF">
      <w:pPr>
        <w:spacing w:line="360" w:lineRule="auto"/>
        <w:ind w:firstLine="240" w:firstLineChars="100"/>
        <w:jc w:val="right"/>
        <w:rPr>
          <w:color w:val="000000" w:themeColor="text1"/>
        </w:rPr>
      </w:pPr>
      <w:bookmarkStart w:id="1087" w:name="_Toc533168388"/>
      <w:bookmarkStart w:id="1088" w:name="_Toc20210103"/>
      <w:bookmarkStart w:id="1089" w:name="_Toc20164443"/>
      <w:bookmarkStart w:id="1090" w:name="_Toc20209819"/>
      <w:bookmarkStart w:id="1091" w:name="_Toc20319226"/>
      <w:bookmarkStart w:id="1092" w:name="_Toc20210641"/>
      <w:bookmarkStart w:id="1093" w:name="_Toc20209875"/>
      <w:bookmarkStart w:id="1094" w:name="_Toc20164169"/>
      <w:bookmarkStart w:id="1095" w:name="_Toc60663770"/>
      <w:bookmarkStart w:id="1096" w:name="_Toc356899010"/>
      <w:bookmarkStart w:id="1097" w:name="_Toc422249725"/>
      <w:bookmarkStart w:id="1098" w:name="_Toc213155325"/>
      <w:bookmarkStart w:id="1099" w:name="_Toc282703572"/>
      <w:bookmarkStart w:id="1100" w:name="_Toc357267816"/>
      <w:bookmarkStart w:id="1101" w:name="_Toc52961745"/>
      <w:bookmarkStart w:id="1102" w:name="_Toc51493930"/>
      <w:bookmarkStart w:id="1103" w:name="_Toc214341449"/>
      <w:bookmarkStart w:id="1104" w:name="_Toc359963688"/>
      <w:bookmarkStart w:id="1105" w:name="_Toc51494310"/>
      <w:bookmarkStart w:id="1106" w:name="_Toc67311766"/>
      <w:bookmarkStart w:id="1107" w:name="_Toc336241705"/>
      <w:bookmarkStart w:id="1108" w:name="_Toc357809979"/>
      <w:bookmarkStart w:id="1109" w:name="_Toc354606501"/>
      <w:bookmarkStart w:id="1110" w:name="_Toc338851182"/>
      <w:bookmarkStart w:id="1111" w:name="_Toc60191189"/>
      <w:bookmarkStart w:id="1112" w:name="_Toc359490626"/>
      <w:bookmarkStart w:id="1113" w:name="_Toc433187951"/>
      <w:bookmarkStart w:id="1114" w:name="_Toc282418838"/>
      <w:bookmarkStart w:id="1115" w:name="_Toc336244909"/>
      <w:bookmarkStart w:id="1116" w:name="_Toc360233193"/>
      <w:bookmarkStart w:id="1117" w:name="_Toc336245535"/>
      <w:bookmarkStart w:id="1118" w:name="_Toc53100524"/>
      <w:bookmarkStart w:id="1119" w:name="_Toc213155205"/>
      <w:bookmarkStart w:id="1120" w:name="_Toc66356011"/>
      <w:bookmarkStart w:id="1121" w:name="_Toc355702904"/>
      <w:bookmarkStart w:id="1122" w:name="_Toc283892623"/>
      <w:bookmarkStart w:id="1123" w:name="_Toc47513036"/>
      <w:bookmarkStart w:id="1124" w:name="_Toc354575311"/>
      <w:bookmarkStart w:id="1125" w:name="_Toc339016071"/>
      <w:bookmarkStart w:id="1126" w:name="_Toc377495890"/>
      <w:bookmarkStart w:id="1127" w:name="_Toc355742201"/>
      <w:bookmarkStart w:id="1128" w:name="_Toc283376900"/>
      <w:bookmarkStart w:id="1129" w:name="_Toc213520792"/>
      <w:bookmarkStart w:id="1130" w:name="_Toc53100347"/>
      <w:bookmarkStart w:id="1131" w:name="_Toc214175923"/>
      <w:bookmarkStart w:id="1132" w:name="_Toc51494166"/>
      <w:bookmarkStart w:id="1133" w:name="_Toc283376788"/>
      <w:bookmarkStart w:id="1134" w:name="_Toc282417492"/>
      <w:bookmarkStart w:id="1135" w:name="_Toc51493805"/>
      <w:bookmarkStart w:id="1136" w:name="_Toc283490451"/>
      <w:bookmarkStart w:id="1137" w:name="_Toc359963778"/>
      <w:bookmarkStart w:id="1138" w:name="_Toc354606592"/>
      <w:bookmarkStart w:id="1139" w:name="_Toc496099042"/>
      <w:bookmarkStart w:id="1140" w:name="_Toc77318621"/>
      <w:bookmarkStart w:id="1141" w:name="_Toc339464566"/>
      <w:bookmarkStart w:id="1142" w:name="_Toc66355854"/>
      <w:bookmarkStart w:id="1143" w:name="_Toc355722029"/>
      <w:bookmarkStart w:id="1144" w:name="_Toc339015997"/>
      <w:bookmarkStart w:id="1145" w:name="_Toc355728808"/>
      <w:bookmarkStart w:id="1146" w:name="_Toc257903129"/>
      <w:bookmarkStart w:id="1147" w:name="_Toc283735956"/>
      <w:bookmarkStart w:id="1148" w:name="_Toc336238940"/>
      <w:bookmarkStart w:id="1149" w:name="_Toc257903229"/>
      <w:bookmarkStart w:id="1150" w:name="_Toc355842544"/>
      <w:bookmarkStart w:id="1151" w:name="_Toc283624843"/>
      <w:bookmarkStart w:id="1152" w:name="_Toc357167878"/>
      <w:bookmarkStart w:id="1153" w:name="_Toc355742678"/>
      <w:bookmarkStart w:id="1154" w:name="_Toc17473484"/>
      <w:bookmarkStart w:id="1155" w:name="_Toc213516237"/>
    </w:p>
    <w:p w14:paraId="75E7A230">
      <w:pPr>
        <w:spacing w:line="360" w:lineRule="auto"/>
        <w:ind w:firstLine="240" w:firstLineChars="100"/>
        <w:jc w:val="right"/>
        <w:rPr>
          <w:color w:val="000000" w:themeColor="text1"/>
        </w:rPr>
      </w:pPr>
    </w:p>
    <w:p w14:paraId="7753E481">
      <w:pPr>
        <w:spacing w:line="360" w:lineRule="auto"/>
        <w:ind w:firstLine="240" w:firstLineChars="100"/>
        <w:jc w:val="right"/>
        <w:rPr>
          <w:color w:val="000000" w:themeColor="text1"/>
        </w:rPr>
      </w:pPr>
    </w:p>
    <w:p w14:paraId="072DBC95">
      <w:pPr>
        <w:spacing w:line="360" w:lineRule="auto"/>
        <w:ind w:firstLine="240" w:firstLineChars="100"/>
        <w:jc w:val="right"/>
        <w:rPr>
          <w:color w:val="000000" w:themeColor="text1"/>
        </w:rPr>
      </w:pPr>
    </w:p>
    <w:p w14:paraId="7D1CB6EF">
      <w:pPr>
        <w:spacing w:line="360" w:lineRule="auto"/>
        <w:ind w:firstLine="240" w:firstLineChars="100"/>
        <w:jc w:val="right"/>
        <w:rPr>
          <w:color w:val="000000" w:themeColor="text1"/>
        </w:rPr>
      </w:pPr>
    </w:p>
    <w:p w14:paraId="187014FA">
      <w:pPr>
        <w:spacing w:line="360" w:lineRule="auto"/>
        <w:ind w:firstLine="240" w:firstLineChars="100"/>
        <w:jc w:val="right"/>
        <w:rPr>
          <w:color w:val="000000" w:themeColor="text1"/>
        </w:rPr>
      </w:pPr>
    </w:p>
    <w:p w14:paraId="4AEB4DA2">
      <w:pPr>
        <w:spacing w:line="360" w:lineRule="auto"/>
        <w:ind w:firstLine="240" w:firstLineChars="100"/>
        <w:jc w:val="right"/>
        <w:rPr>
          <w:color w:val="000000" w:themeColor="text1"/>
        </w:rPr>
      </w:pPr>
    </w:p>
    <w:p w14:paraId="1DB2FCB3">
      <w:pPr>
        <w:spacing w:line="360" w:lineRule="auto"/>
        <w:ind w:firstLine="240" w:firstLineChars="100"/>
        <w:jc w:val="right"/>
        <w:rPr>
          <w:color w:val="000000" w:themeColor="text1"/>
        </w:rPr>
      </w:pPr>
    </w:p>
    <w:p w14:paraId="442BA752">
      <w:pPr>
        <w:spacing w:line="360" w:lineRule="auto"/>
        <w:ind w:firstLine="240" w:firstLineChars="100"/>
        <w:jc w:val="right"/>
        <w:rPr>
          <w:color w:val="000000" w:themeColor="text1"/>
        </w:rPr>
      </w:pPr>
    </w:p>
    <w:p w14:paraId="0C7EBBE0">
      <w:pPr>
        <w:spacing w:line="360" w:lineRule="auto"/>
        <w:ind w:firstLine="240" w:firstLineChars="100"/>
        <w:jc w:val="right"/>
        <w:rPr>
          <w:color w:val="000000" w:themeColor="text1"/>
        </w:rPr>
      </w:pPr>
    </w:p>
    <w:p w14:paraId="085751D9">
      <w:pPr>
        <w:spacing w:line="360" w:lineRule="auto"/>
        <w:ind w:firstLine="240" w:firstLineChars="100"/>
        <w:jc w:val="right"/>
        <w:rPr>
          <w:color w:val="000000" w:themeColor="text1"/>
        </w:rPr>
      </w:pPr>
    </w:p>
    <w:p w14:paraId="35B1C47C">
      <w:pPr>
        <w:spacing w:line="360" w:lineRule="auto"/>
        <w:ind w:firstLine="240" w:firstLineChars="100"/>
        <w:jc w:val="right"/>
        <w:rPr>
          <w:color w:val="000000" w:themeColor="text1"/>
        </w:rPr>
      </w:pPr>
    </w:p>
    <w:p w14:paraId="0C208D3D">
      <w:pPr>
        <w:spacing w:line="360" w:lineRule="auto"/>
        <w:ind w:firstLine="240" w:firstLineChars="100"/>
        <w:jc w:val="right"/>
        <w:rPr>
          <w:color w:val="000000" w:themeColor="text1"/>
        </w:rPr>
      </w:pPr>
    </w:p>
    <w:p w14:paraId="5926332E">
      <w:pPr>
        <w:spacing w:line="360" w:lineRule="auto"/>
        <w:ind w:firstLine="240" w:firstLineChars="100"/>
        <w:jc w:val="right"/>
        <w:rPr>
          <w:color w:val="000000" w:themeColor="text1"/>
        </w:rPr>
      </w:pPr>
    </w:p>
    <w:p w14:paraId="2D22A9CB">
      <w:pPr>
        <w:spacing w:line="360" w:lineRule="auto"/>
        <w:ind w:firstLine="240" w:firstLineChars="100"/>
        <w:jc w:val="right"/>
        <w:rPr>
          <w:color w:val="000000" w:themeColor="text1"/>
        </w:rPr>
      </w:pPr>
    </w:p>
    <w:p w14:paraId="5BC71870">
      <w:pPr>
        <w:spacing w:line="360" w:lineRule="auto"/>
        <w:ind w:firstLine="240" w:firstLineChars="100"/>
        <w:jc w:val="right"/>
        <w:rPr>
          <w:color w:val="000000" w:themeColor="text1"/>
        </w:rPr>
      </w:pPr>
    </w:p>
    <w:p w14:paraId="19B1ED1C">
      <w:pPr>
        <w:spacing w:line="360" w:lineRule="auto"/>
        <w:ind w:firstLine="240" w:firstLineChars="100"/>
        <w:jc w:val="right"/>
        <w:rPr>
          <w:color w:val="000000" w:themeColor="text1"/>
        </w:rPr>
      </w:pPr>
    </w:p>
    <w:p w14:paraId="7938828E">
      <w:pPr>
        <w:spacing w:line="360" w:lineRule="auto"/>
        <w:ind w:firstLine="240" w:firstLineChars="100"/>
        <w:jc w:val="right"/>
        <w:rPr>
          <w:color w:val="000000" w:themeColor="text1"/>
        </w:rPr>
      </w:pPr>
    </w:p>
    <w:p w14:paraId="197EBE36">
      <w:pPr>
        <w:spacing w:line="360" w:lineRule="auto"/>
        <w:ind w:firstLine="240" w:firstLineChars="100"/>
        <w:jc w:val="right"/>
        <w:rPr>
          <w:color w:val="000000" w:themeColor="text1"/>
        </w:rPr>
      </w:pPr>
    </w:p>
    <w:p w14:paraId="05DFCE2D">
      <w:pPr>
        <w:spacing w:line="360" w:lineRule="auto"/>
        <w:ind w:firstLine="240" w:firstLineChars="100"/>
        <w:jc w:val="right"/>
        <w:rPr>
          <w:color w:val="000000" w:themeColor="text1"/>
        </w:rPr>
      </w:pPr>
    </w:p>
    <w:p w14:paraId="4DDA7440">
      <w:pPr>
        <w:spacing w:line="360" w:lineRule="auto"/>
        <w:ind w:firstLine="240" w:firstLineChars="100"/>
        <w:jc w:val="right"/>
        <w:rPr>
          <w:color w:val="000000" w:themeColor="text1"/>
        </w:rPr>
      </w:pPr>
    </w:p>
    <w:p w14:paraId="44ACC0BB">
      <w:pPr>
        <w:spacing w:line="360" w:lineRule="auto"/>
        <w:ind w:firstLine="240" w:firstLineChars="100"/>
        <w:jc w:val="right"/>
        <w:rPr>
          <w:color w:val="000000" w:themeColor="text1"/>
        </w:rPr>
      </w:pPr>
    </w:p>
    <w:p w14:paraId="67D68537">
      <w:pPr>
        <w:spacing w:line="360" w:lineRule="auto"/>
        <w:ind w:firstLine="240" w:firstLineChars="100"/>
        <w:jc w:val="right"/>
        <w:rPr>
          <w:color w:val="000000" w:themeColor="text1"/>
        </w:rPr>
      </w:pPr>
    </w:p>
    <w:p w14:paraId="364A7A76">
      <w:pPr>
        <w:spacing w:line="360" w:lineRule="auto"/>
        <w:ind w:firstLine="240" w:firstLineChars="100"/>
        <w:jc w:val="right"/>
        <w:rPr>
          <w:color w:val="000000" w:themeColor="text1"/>
        </w:rPr>
      </w:pPr>
    </w:p>
    <w:p w14:paraId="13369C64">
      <w:pPr>
        <w:spacing w:line="360" w:lineRule="auto"/>
        <w:jc w:val="both"/>
        <w:rPr>
          <w:color w:val="000000" w:themeColor="text1"/>
        </w:rPr>
      </w:pPr>
    </w:p>
    <w:p w14:paraId="23351ADD">
      <w:pPr>
        <w:spacing w:line="360" w:lineRule="auto"/>
        <w:ind w:firstLine="240" w:firstLineChars="100"/>
        <w:jc w:val="right"/>
        <w:rPr>
          <w:rFonts w:hint="default" w:eastAsia="宋体"/>
          <w:color w:val="auto"/>
          <w:lang w:val="en-US" w:eastAsia="zh-CN"/>
        </w:rPr>
      </w:pPr>
      <w:r>
        <w:rPr>
          <w:color w:val="000000" w:themeColor="text1"/>
        </w:rPr>
        <w:t>招商编</w:t>
      </w:r>
      <w:r>
        <w:rPr>
          <w:color w:val="auto"/>
        </w:rPr>
        <w:t>号：SL-</w:t>
      </w:r>
      <w:r>
        <w:rPr>
          <w:rFonts w:hint="eastAsia"/>
          <w:color w:val="auto"/>
          <w:lang w:val="en-US" w:eastAsia="zh-CN"/>
        </w:rPr>
        <w:t>2025</w:t>
      </w:r>
      <w:r>
        <w:rPr>
          <w:color w:val="auto"/>
        </w:rPr>
        <w:t>-</w:t>
      </w:r>
      <w:r>
        <w:rPr>
          <w:rFonts w:hint="eastAsia"/>
          <w:color w:val="auto"/>
          <w:lang w:val="en-US" w:eastAsia="zh-CN"/>
        </w:rPr>
        <w:t>9</w:t>
      </w:r>
      <w:r>
        <w:rPr>
          <w:color w:val="auto"/>
        </w:rPr>
        <w:t>-</w:t>
      </w:r>
      <w:r>
        <w:rPr>
          <w:rFonts w:hint="eastAsia"/>
          <w:color w:val="auto"/>
          <w:lang w:val="en-US" w:eastAsia="zh-CN"/>
        </w:rPr>
        <w:t>25</w:t>
      </w:r>
    </w:p>
    <w:p w14:paraId="7598C636">
      <w:pPr>
        <w:spacing w:line="360" w:lineRule="auto"/>
        <w:rPr>
          <w:color w:val="000000" w:themeColor="text1"/>
        </w:rPr>
      </w:pPr>
    </w:p>
    <w:p w14:paraId="70744910">
      <w:pPr>
        <w:pStyle w:val="17"/>
        <w:spacing w:before="0" w:line="360" w:lineRule="auto"/>
        <w:outlineLvl w:val="0"/>
        <w:rPr>
          <w:rFonts w:ascii="Times New Roman" w:hAnsi="Times New Roman"/>
          <w:color w:val="000000" w:themeColor="text1"/>
        </w:rPr>
      </w:pPr>
      <w:bookmarkStart w:id="1156" w:name="_Toc433369462"/>
      <w:bookmarkStart w:id="1157" w:name="_Toc30283"/>
      <w:r>
        <w:rPr>
          <w:rFonts w:ascii="Times New Roman" w:hAnsi="Times New Roman"/>
          <w:color w:val="000000" w:themeColor="text1"/>
        </w:rPr>
        <w:t>第五章</w:t>
      </w:r>
      <w:r>
        <w:rPr>
          <w:rFonts w:hint="eastAsia" w:ascii="Times New Roman" w:hAnsi="Times New Roman"/>
          <w:color w:val="000000" w:themeColor="text1"/>
        </w:rPr>
        <w:t>铁路经营场所租赁和服务合同</w:t>
      </w:r>
      <w:r>
        <w:rPr>
          <w:rFonts w:ascii="Times New Roman" w:hAnsi="Times New Roman"/>
          <w:color w:val="000000" w:themeColor="text1"/>
        </w:rPr>
        <w:t>（格式）</w:t>
      </w:r>
      <w:bookmarkEnd w:id="1156"/>
      <w:bookmarkEnd w:id="1157"/>
    </w:p>
    <w:p w14:paraId="7F5B2257">
      <w:pPr>
        <w:snapToGrid w:val="0"/>
        <w:spacing w:line="360" w:lineRule="auto"/>
        <w:ind w:left="684" w:leftChars="285" w:right="840"/>
        <w:jc w:val="center"/>
        <w:rPr>
          <w:rFonts w:ascii="仿宋" w:hAnsi="仿宋" w:eastAsia="仿宋" w:cs="宋体"/>
          <w:color w:val="000000" w:themeColor="text1"/>
          <w:szCs w:val="21"/>
        </w:rPr>
      </w:pPr>
      <w:r>
        <w:rPr>
          <w:rFonts w:hint="eastAsia" w:ascii="仿宋" w:hAnsi="仿宋" w:eastAsia="仿宋" w:cs="宋体"/>
          <w:color w:val="000000" w:themeColor="text1"/>
          <w:szCs w:val="21"/>
        </w:rPr>
        <w:t xml:space="preserve">  </w:t>
      </w:r>
    </w:p>
    <w:p w14:paraId="3036032B">
      <w:pPr>
        <w:snapToGrid w:val="0"/>
        <w:spacing w:line="360" w:lineRule="auto"/>
        <w:ind w:left="684" w:leftChars="285" w:right="840"/>
        <w:jc w:val="center"/>
        <w:rPr>
          <w:rFonts w:ascii="仿宋" w:hAnsi="仿宋" w:eastAsia="仿宋" w:cs="宋体"/>
          <w:color w:val="000000" w:themeColor="text1"/>
          <w:szCs w:val="21"/>
        </w:rPr>
      </w:pPr>
    </w:p>
    <w:p w14:paraId="6778B310">
      <w:pPr>
        <w:snapToGrid w:val="0"/>
        <w:spacing w:line="360" w:lineRule="auto"/>
        <w:ind w:left="684" w:leftChars="285" w:right="840"/>
        <w:jc w:val="center"/>
        <w:rPr>
          <w:rFonts w:ascii="仿宋" w:hAnsi="仿宋" w:eastAsia="仿宋" w:cs="宋体"/>
          <w:color w:val="000000" w:themeColor="text1"/>
          <w:szCs w:val="21"/>
        </w:rPr>
      </w:pPr>
    </w:p>
    <w:p w14:paraId="69A8A41B">
      <w:pPr>
        <w:snapToGrid w:val="0"/>
        <w:spacing w:line="360" w:lineRule="auto"/>
        <w:ind w:left="684" w:leftChars="285" w:right="840"/>
        <w:jc w:val="center"/>
        <w:rPr>
          <w:rFonts w:ascii="仿宋" w:hAnsi="仿宋" w:eastAsia="仿宋" w:cs="宋体"/>
          <w:color w:val="000000" w:themeColor="text1"/>
          <w:szCs w:val="21"/>
        </w:rPr>
      </w:pPr>
    </w:p>
    <w:p w14:paraId="76880AE2">
      <w:pPr>
        <w:snapToGrid w:val="0"/>
        <w:spacing w:line="360" w:lineRule="auto"/>
        <w:ind w:left="684" w:leftChars="285" w:right="840"/>
        <w:jc w:val="center"/>
        <w:rPr>
          <w:rFonts w:ascii="仿宋" w:hAnsi="仿宋" w:eastAsia="仿宋" w:cs="宋体"/>
          <w:color w:val="000000" w:themeColor="text1"/>
          <w:szCs w:val="21"/>
        </w:rPr>
      </w:pPr>
    </w:p>
    <w:p w14:paraId="125F488C">
      <w:pPr>
        <w:snapToGrid w:val="0"/>
        <w:spacing w:line="360" w:lineRule="auto"/>
        <w:ind w:left="684" w:leftChars="285" w:right="840"/>
        <w:jc w:val="center"/>
        <w:rPr>
          <w:rFonts w:ascii="仿宋" w:hAnsi="仿宋" w:eastAsia="仿宋" w:cs="宋体"/>
          <w:color w:val="000000" w:themeColor="text1"/>
          <w:szCs w:val="21"/>
        </w:rPr>
      </w:pPr>
    </w:p>
    <w:p w14:paraId="185C387E">
      <w:pPr>
        <w:snapToGrid w:val="0"/>
        <w:spacing w:line="360" w:lineRule="auto"/>
        <w:ind w:left="684" w:leftChars="285" w:right="840"/>
        <w:jc w:val="center"/>
        <w:rPr>
          <w:rFonts w:ascii="仿宋" w:hAnsi="仿宋" w:eastAsia="仿宋" w:cs="宋体"/>
          <w:color w:val="000000" w:themeColor="text1"/>
          <w:szCs w:val="21"/>
        </w:rPr>
      </w:pPr>
    </w:p>
    <w:p w14:paraId="773F7D2F">
      <w:pPr>
        <w:snapToGrid w:val="0"/>
        <w:spacing w:line="360" w:lineRule="auto"/>
        <w:ind w:left="684" w:leftChars="285" w:right="840"/>
        <w:jc w:val="center"/>
        <w:rPr>
          <w:rFonts w:ascii="仿宋" w:hAnsi="仿宋" w:eastAsia="仿宋" w:cs="宋体"/>
          <w:color w:val="000000" w:themeColor="text1"/>
          <w:szCs w:val="21"/>
        </w:rPr>
      </w:pPr>
    </w:p>
    <w:p w14:paraId="54744FED">
      <w:pPr>
        <w:snapToGrid w:val="0"/>
        <w:spacing w:line="360" w:lineRule="auto"/>
        <w:ind w:left="684" w:leftChars="285" w:right="840"/>
        <w:jc w:val="center"/>
        <w:rPr>
          <w:rFonts w:ascii="仿宋" w:hAnsi="仿宋" w:eastAsia="仿宋" w:cs="宋体"/>
          <w:color w:val="000000" w:themeColor="text1"/>
          <w:szCs w:val="21"/>
        </w:rPr>
      </w:pPr>
    </w:p>
    <w:p w14:paraId="359E9FD7">
      <w:pPr>
        <w:snapToGrid w:val="0"/>
        <w:spacing w:line="360" w:lineRule="auto"/>
        <w:ind w:left="684" w:leftChars="285" w:right="840"/>
        <w:jc w:val="center"/>
        <w:rPr>
          <w:rFonts w:ascii="仿宋" w:hAnsi="仿宋" w:eastAsia="仿宋" w:cs="宋体"/>
          <w:color w:val="000000" w:themeColor="text1"/>
          <w:szCs w:val="21"/>
        </w:rPr>
      </w:pPr>
    </w:p>
    <w:p w14:paraId="11DB3C32">
      <w:pPr>
        <w:snapToGrid w:val="0"/>
        <w:spacing w:line="360" w:lineRule="auto"/>
        <w:ind w:left="684" w:leftChars="285" w:right="840"/>
        <w:jc w:val="center"/>
        <w:rPr>
          <w:rFonts w:ascii="仿宋" w:hAnsi="仿宋" w:eastAsia="仿宋" w:cs="宋体"/>
          <w:color w:val="000000" w:themeColor="text1"/>
          <w:szCs w:val="21"/>
        </w:rPr>
      </w:pPr>
    </w:p>
    <w:p w14:paraId="00E240DB">
      <w:pPr>
        <w:snapToGrid w:val="0"/>
        <w:spacing w:line="360" w:lineRule="auto"/>
        <w:ind w:left="684" w:leftChars="285" w:right="840"/>
        <w:jc w:val="center"/>
        <w:rPr>
          <w:rFonts w:ascii="仿宋" w:hAnsi="仿宋" w:eastAsia="仿宋" w:cs="宋体"/>
          <w:color w:val="000000" w:themeColor="text1"/>
          <w:szCs w:val="21"/>
        </w:rPr>
      </w:pPr>
    </w:p>
    <w:p w14:paraId="76BBE3EF">
      <w:pPr>
        <w:snapToGrid w:val="0"/>
        <w:spacing w:line="360" w:lineRule="auto"/>
        <w:ind w:left="684" w:leftChars="285" w:right="840"/>
        <w:jc w:val="center"/>
        <w:rPr>
          <w:rFonts w:ascii="仿宋" w:hAnsi="仿宋" w:eastAsia="仿宋" w:cs="宋体"/>
          <w:color w:val="000000" w:themeColor="text1"/>
          <w:szCs w:val="21"/>
        </w:rPr>
      </w:pPr>
    </w:p>
    <w:p w14:paraId="04CA27AA">
      <w:pPr>
        <w:snapToGrid w:val="0"/>
        <w:spacing w:line="360" w:lineRule="auto"/>
        <w:ind w:left="684" w:leftChars="285" w:right="840"/>
        <w:jc w:val="center"/>
        <w:rPr>
          <w:rFonts w:ascii="仿宋" w:hAnsi="仿宋" w:eastAsia="仿宋" w:cs="宋体"/>
          <w:color w:val="000000" w:themeColor="text1"/>
          <w:szCs w:val="21"/>
        </w:rPr>
      </w:pPr>
    </w:p>
    <w:p w14:paraId="00992D0B">
      <w:pPr>
        <w:snapToGrid w:val="0"/>
        <w:spacing w:line="360" w:lineRule="auto"/>
        <w:ind w:left="684" w:leftChars="285" w:right="840"/>
        <w:jc w:val="center"/>
        <w:rPr>
          <w:rFonts w:ascii="仿宋" w:hAnsi="仿宋" w:eastAsia="仿宋" w:cs="宋体"/>
          <w:color w:val="000000" w:themeColor="text1"/>
          <w:szCs w:val="21"/>
        </w:rPr>
      </w:pPr>
    </w:p>
    <w:p w14:paraId="6A20FF98">
      <w:pPr>
        <w:snapToGrid w:val="0"/>
        <w:spacing w:line="360" w:lineRule="auto"/>
        <w:ind w:left="684" w:leftChars="285" w:right="840"/>
        <w:jc w:val="center"/>
        <w:rPr>
          <w:rFonts w:ascii="仿宋" w:hAnsi="仿宋" w:eastAsia="仿宋" w:cs="宋体"/>
          <w:color w:val="000000" w:themeColor="text1"/>
          <w:szCs w:val="21"/>
        </w:rPr>
      </w:pPr>
    </w:p>
    <w:p w14:paraId="7614A589">
      <w:pPr>
        <w:pStyle w:val="63"/>
        <w:ind w:firstLine="420"/>
      </w:pPr>
    </w:p>
    <w:p w14:paraId="04925D40"/>
    <w:p w14:paraId="370C4ACD">
      <w:pPr>
        <w:pStyle w:val="63"/>
        <w:ind w:firstLine="420"/>
      </w:pPr>
    </w:p>
    <w:p w14:paraId="326EC926"/>
    <w:p w14:paraId="759E7053">
      <w:pPr>
        <w:pStyle w:val="63"/>
        <w:ind w:firstLine="420"/>
      </w:pPr>
    </w:p>
    <w:p w14:paraId="4A37C2DE">
      <w:pPr>
        <w:pStyle w:val="63"/>
        <w:ind w:firstLine="420"/>
      </w:pPr>
    </w:p>
    <w:p w14:paraId="67BF73E2">
      <w:pPr>
        <w:snapToGrid w:val="0"/>
        <w:spacing w:line="360" w:lineRule="auto"/>
        <w:ind w:left="684" w:leftChars="285" w:right="840"/>
        <w:jc w:val="center"/>
        <w:rPr>
          <w:rFonts w:ascii="仿宋" w:hAnsi="仿宋" w:eastAsia="仿宋" w:cs="宋体"/>
          <w:color w:val="000000" w:themeColor="text1"/>
          <w:szCs w:val="21"/>
        </w:rPr>
      </w:pPr>
    </w:p>
    <w:p w14:paraId="1D4CB52C">
      <w:pPr>
        <w:snapToGrid w:val="0"/>
        <w:spacing w:line="360" w:lineRule="auto"/>
        <w:ind w:left="684" w:leftChars="285" w:right="840"/>
        <w:jc w:val="center"/>
        <w:rPr>
          <w:rFonts w:ascii="仿宋" w:hAnsi="仿宋" w:eastAsia="仿宋" w:cs="宋体"/>
          <w:color w:val="000000" w:themeColor="text1"/>
          <w:szCs w:val="21"/>
        </w:rPr>
      </w:pPr>
    </w:p>
    <w:p w14:paraId="628DFE9B">
      <w:pPr>
        <w:snapToGrid w:val="0"/>
        <w:spacing w:line="360" w:lineRule="auto"/>
        <w:ind w:left="684" w:leftChars="285" w:right="840"/>
        <w:jc w:val="center"/>
        <w:rPr>
          <w:rFonts w:ascii="仿宋" w:hAnsi="仿宋" w:eastAsia="仿宋" w:cs="宋体"/>
          <w:color w:val="000000" w:themeColor="text1"/>
          <w:szCs w:val="21"/>
        </w:rPr>
      </w:pPr>
    </w:p>
    <w:p w14:paraId="1D7D12B2">
      <w:pPr>
        <w:snapToGrid w:val="0"/>
        <w:spacing w:line="360" w:lineRule="auto"/>
        <w:ind w:left="684" w:leftChars="285" w:right="840"/>
        <w:jc w:val="center"/>
        <w:rPr>
          <w:rFonts w:ascii="仿宋" w:hAnsi="仿宋" w:eastAsia="仿宋" w:cs="宋体"/>
          <w:color w:val="000000" w:themeColor="text1"/>
          <w:szCs w:val="21"/>
        </w:rPr>
      </w:pPr>
    </w:p>
    <w:p w14:paraId="385F07B3">
      <w:pPr>
        <w:snapToGrid w:val="0"/>
        <w:spacing w:line="360" w:lineRule="auto"/>
        <w:ind w:left="684" w:leftChars="285" w:right="840"/>
        <w:jc w:val="center"/>
        <w:rPr>
          <w:rFonts w:ascii="仿宋" w:hAnsi="仿宋" w:eastAsia="仿宋" w:cs="宋体"/>
          <w:color w:val="000000" w:themeColor="text1"/>
          <w:szCs w:val="21"/>
        </w:rPr>
      </w:pPr>
    </w:p>
    <w:p w14:paraId="6AED95A8">
      <w:pPr>
        <w:pStyle w:val="63"/>
      </w:pPr>
    </w:p>
    <w:p w14:paraId="79646503">
      <w:pPr>
        <w:pStyle w:val="63"/>
        <w:ind w:firstLine="420"/>
      </w:pPr>
    </w:p>
    <w:p w14:paraId="1BCDBA2B">
      <w:pPr>
        <w:snapToGrid w:val="0"/>
        <w:spacing w:line="360" w:lineRule="auto"/>
        <w:ind w:left="684" w:leftChars="285" w:right="840"/>
        <w:jc w:val="center"/>
        <w:rPr>
          <w:rFonts w:ascii="仿宋" w:hAnsi="仿宋" w:eastAsia="仿宋" w:cs="宋体"/>
          <w:color w:val="000000" w:themeColor="text1"/>
          <w:szCs w:val="21"/>
        </w:rPr>
      </w:pPr>
    </w:p>
    <w:p w14:paraId="1932C485">
      <w:pPr>
        <w:snapToGrid w:val="0"/>
        <w:spacing w:line="560" w:lineRule="exact"/>
        <w:jc w:val="center"/>
        <w:rPr>
          <w:rFonts w:ascii="宋体" w:hAnsi="宋体" w:cs="宋体"/>
          <w:b/>
          <w:bCs/>
          <w:color w:val="000000"/>
          <w:sz w:val="36"/>
          <w:szCs w:val="44"/>
        </w:rPr>
      </w:pPr>
      <w:r>
        <w:rPr>
          <w:rFonts w:hint="eastAsia" w:ascii="宋体" w:hAnsi="宋体" w:cs="宋体"/>
          <w:b/>
          <w:bCs/>
          <w:color w:val="000000"/>
          <w:sz w:val="36"/>
          <w:szCs w:val="44"/>
        </w:rPr>
        <w:t>铁路经营场所服务合同(模板)</w:t>
      </w:r>
    </w:p>
    <w:p w14:paraId="0D7A130D">
      <w:pPr>
        <w:snapToGrid w:val="0"/>
        <w:spacing w:line="560" w:lineRule="exact"/>
        <w:ind w:firstLine="480" w:firstLineChars="200"/>
        <w:jc w:val="center"/>
        <w:rPr>
          <w:rFonts w:ascii="仿宋" w:hAnsi="仿宋" w:eastAsia="仿宋" w:cs="宋体"/>
          <w:color w:val="000000"/>
          <w:szCs w:val="21"/>
        </w:rPr>
      </w:pPr>
      <w:r>
        <w:rPr>
          <w:rFonts w:hint="eastAsia" w:ascii="仿宋" w:hAnsi="仿宋" w:eastAsia="仿宋" w:cs="宋体"/>
          <w:color w:val="000000"/>
          <w:szCs w:val="21"/>
        </w:rPr>
        <w:t xml:space="preserve">                                                       编号: </w:t>
      </w:r>
    </w:p>
    <w:p w14:paraId="02317560">
      <w:pPr>
        <w:snapToGrid w:val="0"/>
        <w:spacing w:line="560" w:lineRule="exact"/>
        <w:ind w:firstLine="480" w:firstLineChars="200"/>
        <w:rPr>
          <w:rFonts w:ascii="仿宋" w:hAnsi="仿宋" w:eastAsia="仿宋" w:cs="宋体"/>
          <w:color w:val="000000"/>
          <w:szCs w:val="21"/>
        </w:rPr>
      </w:pPr>
    </w:p>
    <w:p w14:paraId="5F5DFDF8">
      <w:pPr>
        <w:spacing w:line="400" w:lineRule="exact"/>
        <w:ind w:firstLine="480" w:firstLineChars="200"/>
        <w:rPr>
          <w:rFonts w:ascii="仿宋" w:hAnsi="仿宋" w:eastAsia="仿宋" w:cs="宋体"/>
          <w:bCs/>
          <w:color w:val="000000"/>
        </w:rPr>
      </w:pPr>
      <w:r>
        <w:rPr>
          <w:rFonts w:hint="eastAsia" w:ascii="仿宋" w:hAnsi="仿宋" w:eastAsia="仿宋" w:cs="宋体"/>
          <w:bCs/>
          <w:color w:val="000000"/>
        </w:rPr>
        <w:t>甲方(甲方)：上海铁路文旅传媒集团有限公司</w:t>
      </w:r>
    </w:p>
    <w:p w14:paraId="0AB903AE">
      <w:pPr>
        <w:spacing w:line="400" w:lineRule="exact"/>
        <w:ind w:firstLine="480" w:firstLineChars="200"/>
        <w:rPr>
          <w:rFonts w:ascii="仿宋" w:hAnsi="仿宋" w:eastAsia="仿宋" w:cs="宋体"/>
          <w:bCs/>
          <w:color w:val="000000"/>
        </w:rPr>
      </w:pPr>
      <w:r>
        <w:rPr>
          <w:rFonts w:hint="eastAsia" w:ascii="仿宋" w:hAnsi="仿宋" w:eastAsia="仿宋" w:cs="宋体"/>
          <w:bCs/>
          <w:color w:val="000000"/>
        </w:rPr>
        <w:t>纳税识别号</w:t>
      </w:r>
      <w:r>
        <w:rPr>
          <w:rFonts w:ascii="仿宋" w:hAnsi="仿宋" w:eastAsia="仿宋" w:cs="宋体"/>
          <w:bCs/>
          <w:color w:val="000000"/>
        </w:rPr>
        <w:t>/</w:t>
      </w:r>
      <w:r>
        <w:rPr>
          <w:rFonts w:hint="eastAsia" w:ascii="仿宋" w:hAnsi="仿宋" w:eastAsia="仿宋" w:cs="宋体"/>
          <w:bCs/>
          <w:color w:val="000000"/>
        </w:rPr>
        <w:t>统一社会信用代码</w:t>
      </w:r>
      <w:r>
        <w:rPr>
          <w:rFonts w:ascii="仿宋" w:hAnsi="仿宋" w:eastAsia="仿宋" w:cs="宋体"/>
          <w:bCs/>
          <w:color w:val="000000"/>
        </w:rPr>
        <w:t>:</w:t>
      </w:r>
      <w:r>
        <w:rPr>
          <w:rFonts w:hint="eastAsia" w:ascii="仿宋" w:hAnsi="仿宋" w:eastAsia="仿宋" w:cs="宋体"/>
          <w:bCs/>
          <w:color w:val="000000"/>
        </w:rPr>
        <w:t>913101081322799984</w:t>
      </w:r>
    </w:p>
    <w:p w14:paraId="2581D320">
      <w:pPr>
        <w:spacing w:line="400" w:lineRule="exact"/>
        <w:ind w:firstLine="480" w:firstLineChars="200"/>
        <w:rPr>
          <w:rFonts w:ascii="仿宋" w:hAnsi="仿宋" w:eastAsia="仿宋" w:cs="宋体"/>
          <w:bCs/>
          <w:color w:val="000000"/>
        </w:rPr>
      </w:pPr>
      <w:r>
        <w:rPr>
          <w:rFonts w:hint="eastAsia" w:ascii="仿宋" w:hAnsi="仿宋" w:eastAsia="仿宋" w:cs="宋体"/>
          <w:bCs/>
          <w:color w:val="000000"/>
        </w:rPr>
        <w:t>地址及联系电话</w:t>
      </w:r>
      <w:r>
        <w:rPr>
          <w:rFonts w:ascii="仿宋" w:hAnsi="仿宋" w:eastAsia="仿宋" w:cs="宋体"/>
          <w:bCs/>
          <w:color w:val="000000"/>
        </w:rPr>
        <w:t>:</w:t>
      </w:r>
      <w:r>
        <w:rPr>
          <w:rFonts w:hint="eastAsia" w:ascii="仿宋" w:hAnsi="仿宋" w:eastAsia="仿宋" w:cs="宋体"/>
          <w:color w:val="000000"/>
        </w:rPr>
        <w:t>上海市静安区天目中路58号</w:t>
      </w:r>
    </w:p>
    <w:p w14:paraId="01D8F1CE">
      <w:pPr>
        <w:spacing w:line="400" w:lineRule="exact"/>
        <w:ind w:firstLine="480" w:firstLineChars="200"/>
        <w:rPr>
          <w:rFonts w:ascii="仿宋" w:hAnsi="仿宋" w:eastAsia="仿宋" w:cs="宋体"/>
          <w:bCs/>
          <w:color w:val="000000"/>
        </w:rPr>
      </w:pPr>
      <w:r>
        <w:rPr>
          <w:rFonts w:hint="eastAsia" w:ascii="仿宋" w:hAnsi="仿宋" w:eastAsia="仿宋" w:cs="宋体"/>
          <w:bCs/>
          <w:color w:val="000000"/>
        </w:rPr>
        <w:t>开户行及账号</w:t>
      </w:r>
      <w:r>
        <w:rPr>
          <w:rFonts w:ascii="仿宋" w:hAnsi="仿宋" w:eastAsia="仿宋" w:cs="宋体"/>
          <w:bCs/>
          <w:color w:val="000000"/>
        </w:rPr>
        <w:t>:</w:t>
      </w:r>
      <w:r>
        <w:rPr>
          <w:rFonts w:hint="eastAsia" w:ascii="仿宋" w:hAnsi="仿宋" w:eastAsia="仿宋" w:cs="宋体"/>
          <w:bCs/>
          <w:color w:val="000000"/>
        </w:rPr>
        <w:t>工行上海市天目东路支行1001215509096784647</w:t>
      </w:r>
    </w:p>
    <w:p w14:paraId="33D57CA8">
      <w:pPr>
        <w:spacing w:line="400" w:lineRule="exact"/>
        <w:ind w:firstLine="480" w:firstLineChars="200"/>
        <w:rPr>
          <w:rFonts w:hint="eastAsia" w:ascii="仿宋" w:hAnsi="仿宋" w:eastAsia="仿宋" w:cs="宋体"/>
          <w:bCs/>
          <w:color w:val="000000"/>
        </w:rPr>
      </w:pPr>
      <w:r>
        <w:rPr>
          <w:rFonts w:hint="eastAsia" w:ascii="仿宋" w:hAnsi="仿宋" w:eastAsia="仿宋" w:cs="宋体"/>
          <w:bCs/>
          <w:color w:val="000000"/>
        </w:rPr>
        <w:t>纳税人类型</w:t>
      </w:r>
      <w:r>
        <w:rPr>
          <w:rFonts w:ascii="仿宋" w:hAnsi="仿宋" w:eastAsia="仿宋" w:cs="宋体"/>
          <w:bCs/>
          <w:color w:val="000000"/>
        </w:rPr>
        <w:t>:</w:t>
      </w:r>
      <w:r>
        <w:rPr>
          <w:rFonts w:hint="eastAsia" w:ascii="仿宋" w:hAnsi="仿宋" w:eastAsia="仿宋" w:cs="宋体"/>
          <w:bCs/>
          <w:color w:val="000000"/>
        </w:rPr>
        <w:t>一般纳税人</w:t>
      </w:r>
    </w:p>
    <w:p w14:paraId="4B486EB6">
      <w:pPr>
        <w:spacing w:line="400" w:lineRule="exact"/>
        <w:ind w:firstLine="480" w:firstLineChars="200"/>
        <w:rPr>
          <w:rFonts w:ascii="仿宋" w:hAnsi="仿宋" w:eastAsia="仿宋" w:cs="宋体"/>
          <w:bCs/>
          <w:color w:val="000000"/>
        </w:rPr>
      </w:pPr>
    </w:p>
    <w:p w14:paraId="2CA3C25D">
      <w:pPr>
        <w:spacing w:line="400" w:lineRule="exact"/>
        <w:ind w:firstLine="480" w:firstLineChars="200"/>
        <w:rPr>
          <w:rFonts w:ascii="仿宋" w:hAnsi="仿宋" w:eastAsia="仿宋" w:cs="宋体"/>
          <w:bCs/>
          <w:color w:val="000000"/>
        </w:rPr>
      </w:pPr>
      <w:r>
        <w:rPr>
          <w:rFonts w:hint="eastAsia" w:ascii="仿宋" w:hAnsi="仿宋" w:eastAsia="仿宋" w:cs="宋体"/>
          <w:bCs/>
          <w:color w:val="000000"/>
        </w:rPr>
        <w:t>乙方(乙方)：</w:t>
      </w:r>
    </w:p>
    <w:p w14:paraId="761C5C28">
      <w:pPr>
        <w:spacing w:line="400" w:lineRule="exact"/>
        <w:ind w:firstLine="480" w:firstLineChars="200"/>
        <w:rPr>
          <w:rFonts w:ascii="仿宋" w:hAnsi="仿宋" w:eastAsia="仿宋" w:cs="宋体"/>
          <w:bCs/>
          <w:color w:val="000000"/>
        </w:rPr>
      </w:pPr>
      <w:r>
        <w:rPr>
          <w:rFonts w:hint="eastAsia" w:ascii="仿宋" w:hAnsi="仿宋" w:eastAsia="仿宋" w:cs="宋体"/>
          <w:bCs/>
          <w:color w:val="000000"/>
        </w:rPr>
        <w:t>纳税识别号</w:t>
      </w:r>
      <w:r>
        <w:rPr>
          <w:rFonts w:ascii="仿宋" w:hAnsi="仿宋" w:eastAsia="仿宋" w:cs="宋体"/>
          <w:bCs/>
          <w:color w:val="000000"/>
        </w:rPr>
        <w:t>/</w:t>
      </w:r>
      <w:r>
        <w:rPr>
          <w:rFonts w:hint="eastAsia" w:ascii="仿宋" w:hAnsi="仿宋" w:eastAsia="仿宋" w:cs="宋体"/>
          <w:bCs/>
          <w:color w:val="000000"/>
        </w:rPr>
        <w:t>统一社会信用代码</w:t>
      </w:r>
      <w:r>
        <w:rPr>
          <w:rFonts w:ascii="仿宋" w:hAnsi="仿宋" w:eastAsia="仿宋" w:cs="宋体"/>
          <w:bCs/>
          <w:color w:val="000000"/>
        </w:rPr>
        <w:t>:</w:t>
      </w:r>
    </w:p>
    <w:p w14:paraId="4D72E4E9">
      <w:pPr>
        <w:spacing w:line="400" w:lineRule="exact"/>
        <w:ind w:firstLine="480" w:firstLineChars="200"/>
        <w:rPr>
          <w:rFonts w:ascii="仿宋" w:hAnsi="仿宋" w:eastAsia="仿宋" w:cs="宋体"/>
          <w:bCs/>
          <w:color w:val="000000"/>
        </w:rPr>
      </w:pPr>
      <w:r>
        <w:rPr>
          <w:rFonts w:hint="eastAsia" w:ascii="仿宋" w:hAnsi="仿宋" w:eastAsia="仿宋" w:cs="宋体"/>
          <w:bCs/>
          <w:color w:val="000000"/>
        </w:rPr>
        <w:t>地址及联系电话</w:t>
      </w:r>
      <w:r>
        <w:rPr>
          <w:rFonts w:ascii="仿宋" w:hAnsi="仿宋" w:eastAsia="仿宋" w:cs="宋体"/>
          <w:bCs/>
          <w:color w:val="000000"/>
        </w:rPr>
        <w:t>:</w:t>
      </w:r>
    </w:p>
    <w:p w14:paraId="742D48AA">
      <w:pPr>
        <w:spacing w:line="400" w:lineRule="exact"/>
        <w:ind w:firstLine="480" w:firstLineChars="200"/>
        <w:rPr>
          <w:rFonts w:ascii="仿宋" w:hAnsi="仿宋" w:eastAsia="仿宋" w:cs="宋体"/>
          <w:bCs/>
          <w:color w:val="000000"/>
        </w:rPr>
      </w:pPr>
      <w:r>
        <w:rPr>
          <w:rFonts w:hint="eastAsia" w:ascii="仿宋" w:hAnsi="仿宋" w:eastAsia="仿宋" w:cs="宋体"/>
          <w:bCs/>
          <w:color w:val="000000"/>
        </w:rPr>
        <w:t>开户行及账号</w:t>
      </w:r>
      <w:r>
        <w:rPr>
          <w:rFonts w:ascii="仿宋" w:hAnsi="仿宋" w:eastAsia="仿宋" w:cs="宋体"/>
          <w:bCs/>
          <w:color w:val="000000"/>
        </w:rPr>
        <w:t>:</w:t>
      </w:r>
    </w:p>
    <w:p w14:paraId="3CA53713">
      <w:pPr>
        <w:spacing w:line="400" w:lineRule="exact"/>
        <w:ind w:firstLine="480" w:firstLineChars="200"/>
        <w:rPr>
          <w:rFonts w:ascii="仿宋" w:hAnsi="仿宋" w:eastAsia="仿宋" w:cs="宋体"/>
          <w:bCs/>
          <w:color w:val="000000"/>
        </w:rPr>
      </w:pPr>
      <w:r>
        <w:rPr>
          <w:rFonts w:hint="eastAsia" w:ascii="仿宋" w:hAnsi="仿宋" w:eastAsia="仿宋" w:cs="宋体"/>
          <w:bCs/>
          <w:color w:val="000000"/>
        </w:rPr>
        <w:t>纳税人类型</w:t>
      </w:r>
      <w:r>
        <w:rPr>
          <w:rFonts w:ascii="仿宋" w:hAnsi="仿宋" w:eastAsia="仿宋" w:cs="宋体"/>
          <w:bCs/>
          <w:color w:val="000000"/>
        </w:rPr>
        <w:t>:</w:t>
      </w:r>
    </w:p>
    <w:p w14:paraId="035EEF74">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ab/>
      </w:r>
    </w:p>
    <w:p w14:paraId="58D25FB2">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中国铁路上海局集团有限公司依法享有铁路的管理、使用权。甲方经中国铁路上海局集团有限公司授权，享有经营场所的使用和管理权。现甲乙双方依据《中华人民共和国民法典》及有关法律法规规定，就有关经营场所服务管理等事宜，经协商一致订立本合同，以资共同遵守。</w:t>
      </w:r>
    </w:p>
    <w:p w14:paraId="0C5B4C9E">
      <w:pPr>
        <w:pStyle w:val="63"/>
        <w:spacing w:line="400" w:lineRule="exact"/>
        <w:ind w:firstLine="420"/>
      </w:pPr>
    </w:p>
    <w:p w14:paraId="7530F1D5">
      <w:pPr>
        <w:snapToGrid w:val="0"/>
        <w:spacing w:line="400" w:lineRule="exact"/>
        <w:ind w:firstLine="482" w:firstLineChars="200"/>
        <w:outlineLvl w:val="0"/>
        <w:rPr>
          <w:rFonts w:ascii="黑体" w:hAnsi="黑体" w:eastAsia="黑体"/>
          <w:b/>
          <w:kern w:val="2"/>
          <w:szCs w:val="28"/>
        </w:rPr>
      </w:pPr>
      <w:r>
        <w:rPr>
          <w:rFonts w:hint="eastAsia" w:ascii="黑体" w:hAnsi="黑体" w:eastAsia="黑体"/>
          <w:b/>
          <w:kern w:val="2"/>
          <w:szCs w:val="28"/>
        </w:rPr>
        <w:t>第一条</w:t>
      </w:r>
      <w:r>
        <w:rPr>
          <w:rFonts w:ascii="黑体" w:hAnsi="黑体" w:eastAsia="黑体"/>
          <w:b/>
          <w:kern w:val="2"/>
          <w:szCs w:val="28"/>
        </w:rPr>
        <w:t>经营场所</w:t>
      </w:r>
      <w:r>
        <w:rPr>
          <w:rFonts w:hint="eastAsia" w:ascii="黑体" w:hAnsi="黑体" w:eastAsia="黑体"/>
          <w:b/>
          <w:kern w:val="2"/>
          <w:szCs w:val="28"/>
        </w:rPr>
        <w:t>位置</w:t>
      </w:r>
    </w:p>
    <w:p w14:paraId="6147AC1B">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（一</w:t>
      </w:r>
      <w:r>
        <w:rPr>
          <w:rFonts w:ascii="仿宋" w:hAnsi="仿宋" w:eastAsia="仿宋" w:cs="宋体"/>
          <w:color w:val="000000"/>
        </w:rPr>
        <w:t>）</w:t>
      </w:r>
      <w:r>
        <w:rPr>
          <w:rFonts w:hint="eastAsia" w:ascii="仿宋" w:hAnsi="仿宋" w:eastAsia="仿宋" w:cs="宋体"/>
          <w:color w:val="000000"/>
        </w:rPr>
        <w:t>经营场所编号：</w:t>
      </w:r>
    </w:p>
    <w:p w14:paraId="559FC518">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（二）楼层位置:</w:t>
      </w:r>
    </w:p>
    <w:p w14:paraId="0CE95BDB">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（三）面积：</w:t>
      </w:r>
    </w:p>
    <w:p w14:paraId="2912120A">
      <w:pPr>
        <w:pStyle w:val="63"/>
        <w:spacing w:line="400" w:lineRule="exact"/>
        <w:ind w:firstLine="0" w:firstLineChars="0"/>
        <w:rPr>
          <w:rFonts w:hint="eastAsia"/>
        </w:rPr>
      </w:pPr>
    </w:p>
    <w:p w14:paraId="5F666F9D">
      <w:pPr>
        <w:snapToGrid w:val="0"/>
        <w:spacing w:line="400" w:lineRule="exact"/>
        <w:ind w:firstLine="482" w:firstLineChars="200"/>
        <w:outlineLvl w:val="0"/>
        <w:rPr>
          <w:rFonts w:hint="eastAsia" w:ascii="黑体" w:hAnsi="黑体" w:eastAsia="黑体"/>
          <w:b/>
          <w:kern w:val="2"/>
          <w:szCs w:val="28"/>
        </w:rPr>
      </w:pPr>
      <w:r>
        <w:rPr>
          <w:rFonts w:hint="eastAsia" w:ascii="黑体" w:hAnsi="黑体" w:eastAsia="黑体"/>
          <w:b/>
          <w:kern w:val="2"/>
          <w:szCs w:val="28"/>
        </w:rPr>
        <w:t>第二条经营期限</w:t>
      </w:r>
    </w:p>
    <w:p w14:paraId="70650463">
      <w:pPr>
        <w:snapToGri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（一）自</w:t>
      </w:r>
      <w:r>
        <w:rPr>
          <w:rFonts w:hint="eastAsia" w:ascii="仿宋" w:hAnsi="仿宋" w:eastAsia="仿宋" w:cs="宋体"/>
          <w:color w:val="000000"/>
          <w:u w:val="single"/>
        </w:rPr>
        <w:t xml:space="preserve">   </w:t>
      </w:r>
      <w:r>
        <w:rPr>
          <w:rFonts w:hint="eastAsia" w:ascii="仿宋" w:hAnsi="仿宋" w:eastAsia="仿宋" w:cs="宋体"/>
          <w:color w:val="000000"/>
        </w:rPr>
        <w:t>年</w:t>
      </w:r>
      <w:r>
        <w:rPr>
          <w:rFonts w:hint="eastAsia" w:ascii="仿宋" w:hAnsi="仿宋" w:eastAsia="仿宋" w:cs="宋体"/>
          <w:color w:val="000000"/>
          <w:u w:val="single"/>
        </w:rPr>
        <w:t xml:space="preserve">   </w:t>
      </w:r>
      <w:r>
        <w:rPr>
          <w:rFonts w:hint="eastAsia" w:ascii="仿宋" w:hAnsi="仿宋" w:eastAsia="仿宋" w:cs="宋体"/>
          <w:color w:val="000000"/>
        </w:rPr>
        <w:t>月</w:t>
      </w:r>
      <w:r>
        <w:rPr>
          <w:rFonts w:hint="eastAsia" w:ascii="仿宋" w:hAnsi="仿宋" w:eastAsia="仿宋" w:cs="宋体"/>
          <w:color w:val="000000"/>
          <w:u w:val="single"/>
        </w:rPr>
        <w:t xml:space="preserve">   </w:t>
      </w:r>
      <w:r>
        <w:rPr>
          <w:rFonts w:hint="eastAsia" w:ascii="仿宋" w:hAnsi="仿宋" w:eastAsia="仿宋" w:cs="宋体"/>
          <w:color w:val="000000"/>
        </w:rPr>
        <w:t>日起至</w:t>
      </w:r>
      <w:r>
        <w:rPr>
          <w:rFonts w:hint="eastAsia" w:ascii="仿宋" w:hAnsi="仿宋" w:eastAsia="仿宋" w:cs="宋体"/>
          <w:color w:val="000000"/>
          <w:u w:val="single"/>
        </w:rPr>
        <w:t xml:space="preserve">   </w:t>
      </w:r>
      <w:r>
        <w:rPr>
          <w:rFonts w:hint="eastAsia" w:ascii="仿宋" w:hAnsi="仿宋" w:eastAsia="仿宋" w:cs="宋体"/>
          <w:color w:val="000000"/>
        </w:rPr>
        <w:t>年</w:t>
      </w:r>
      <w:r>
        <w:rPr>
          <w:rFonts w:hint="eastAsia" w:ascii="仿宋" w:hAnsi="仿宋" w:eastAsia="仿宋" w:cs="宋体"/>
          <w:color w:val="000000"/>
          <w:u w:val="single"/>
        </w:rPr>
        <w:t xml:space="preserve">   </w:t>
      </w:r>
      <w:r>
        <w:rPr>
          <w:rFonts w:hint="eastAsia" w:ascii="仿宋" w:hAnsi="仿宋" w:eastAsia="仿宋" w:cs="宋体"/>
          <w:color w:val="000000"/>
        </w:rPr>
        <w:t>月</w:t>
      </w:r>
      <w:r>
        <w:rPr>
          <w:rFonts w:hint="eastAsia" w:ascii="仿宋" w:hAnsi="仿宋" w:eastAsia="仿宋" w:cs="宋体"/>
          <w:color w:val="000000"/>
          <w:u w:val="single"/>
        </w:rPr>
        <w:t xml:space="preserve">   </w:t>
      </w:r>
      <w:r>
        <w:rPr>
          <w:rFonts w:hint="eastAsia" w:ascii="仿宋" w:hAnsi="仿宋" w:eastAsia="仿宋" w:cs="宋体"/>
          <w:color w:val="000000"/>
        </w:rPr>
        <w:t>日止，为期个</w:t>
      </w:r>
      <w:r>
        <w:rPr>
          <w:rFonts w:hint="eastAsia" w:ascii="仿宋" w:hAnsi="仿宋" w:eastAsia="仿宋" w:cs="宋体"/>
          <w:color w:val="000000"/>
          <w:u w:val="single"/>
        </w:rPr>
        <w:t xml:space="preserve">  </w:t>
      </w:r>
      <w:r>
        <w:rPr>
          <w:rFonts w:hint="eastAsia" w:ascii="仿宋" w:hAnsi="仿宋" w:eastAsia="仿宋" w:cs="宋体"/>
          <w:color w:val="000000"/>
        </w:rPr>
        <w:t>月。</w:t>
      </w:r>
    </w:p>
    <w:p w14:paraId="11B14534">
      <w:pPr>
        <w:snapToGri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（二）双方约定，本场所自</w:t>
      </w:r>
      <w:r>
        <w:rPr>
          <w:rFonts w:hint="eastAsia" w:ascii="仿宋" w:hAnsi="仿宋" w:eastAsia="仿宋" w:cs="宋体"/>
          <w:color w:val="000000"/>
          <w:u w:val="single"/>
        </w:rPr>
        <w:t xml:space="preserve">   </w:t>
      </w:r>
      <w:r>
        <w:rPr>
          <w:rFonts w:hint="eastAsia" w:ascii="仿宋" w:hAnsi="仿宋" w:eastAsia="仿宋" w:cs="宋体"/>
          <w:color w:val="000000"/>
        </w:rPr>
        <w:t>年</w:t>
      </w:r>
      <w:r>
        <w:rPr>
          <w:rFonts w:hint="eastAsia" w:ascii="仿宋" w:hAnsi="仿宋" w:eastAsia="仿宋" w:cs="宋体"/>
          <w:color w:val="000000"/>
          <w:u w:val="single"/>
        </w:rPr>
        <w:t xml:space="preserve">   </w:t>
      </w:r>
      <w:r>
        <w:rPr>
          <w:rFonts w:hint="eastAsia" w:ascii="仿宋" w:hAnsi="仿宋" w:eastAsia="仿宋" w:cs="宋体"/>
          <w:color w:val="000000"/>
        </w:rPr>
        <w:t>月</w:t>
      </w:r>
      <w:r>
        <w:rPr>
          <w:rFonts w:hint="eastAsia" w:ascii="仿宋" w:hAnsi="仿宋" w:eastAsia="仿宋" w:cs="宋体"/>
          <w:color w:val="000000"/>
          <w:u w:val="single"/>
        </w:rPr>
        <w:t xml:space="preserve">   </w:t>
      </w:r>
      <w:r>
        <w:rPr>
          <w:rFonts w:hint="eastAsia" w:ascii="仿宋" w:hAnsi="仿宋" w:eastAsia="仿宋" w:cs="宋体"/>
          <w:color w:val="000000"/>
        </w:rPr>
        <w:t>日起交由乙方经营，其中</w:t>
      </w:r>
      <w:r>
        <w:rPr>
          <w:rFonts w:hint="eastAsia" w:ascii="仿宋" w:hAnsi="仿宋" w:eastAsia="仿宋" w:cs="宋体"/>
          <w:color w:val="000000"/>
          <w:u w:val="single"/>
        </w:rPr>
        <w:t xml:space="preserve">   </w:t>
      </w:r>
      <w:r>
        <w:rPr>
          <w:rFonts w:hint="eastAsia" w:ascii="仿宋" w:hAnsi="仿宋" w:eastAsia="仿宋" w:cs="宋体"/>
          <w:color w:val="000000"/>
        </w:rPr>
        <w:t>年</w:t>
      </w:r>
      <w:r>
        <w:rPr>
          <w:rFonts w:hint="eastAsia" w:ascii="仿宋" w:hAnsi="仿宋" w:eastAsia="仿宋" w:cs="宋体"/>
          <w:color w:val="000000"/>
          <w:u w:val="single"/>
        </w:rPr>
        <w:t xml:space="preserve">   </w:t>
      </w:r>
      <w:r>
        <w:rPr>
          <w:rFonts w:hint="eastAsia" w:ascii="仿宋" w:hAnsi="仿宋" w:eastAsia="仿宋" w:cs="宋体"/>
          <w:color w:val="000000"/>
        </w:rPr>
        <w:t>月</w:t>
      </w:r>
      <w:r>
        <w:rPr>
          <w:rFonts w:hint="eastAsia" w:ascii="仿宋" w:hAnsi="仿宋" w:eastAsia="仿宋" w:cs="宋体"/>
          <w:color w:val="000000"/>
          <w:u w:val="single"/>
        </w:rPr>
        <w:t xml:space="preserve">  </w:t>
      </w:r>
      <w:r>
        <w:rPr>
          <w:rFonts w:hint="eastAsia" w:ascii="仿宋" w:hAnsi="仿宋" w:eastAsia="仿宋" w:cs="宋体"/>
          <w:color w:val="000000"/>
        </w:rPr>
        <w:t xml:space="preserve">   </w:t>
      </w:r>
      <w:r>
        <w:rPr>
          <w:rFonts w:hint="eastAsia" w:ascii="仿宋" w:hAnsi="仿宋" w:eastAsia="仿宋" w:cs="宋体"/>
          <w:color w:val="000000"/>
          <w:u w:val="single"/>
        </w:rPr>
        <w:t xml:space="preserve">   </w:t>
      </w:r>
      <w:r>
        <w:rPr>
          <w:rFonts w:hint="eastAsia" w:ascii="仿宋" w:hAnsi="仿宋" w:eastAsia="仿宋" w:cs="宋体"/>
          <w:color w:val="000000"/>
        </w:rPr>
        <w:t>日至</w:t>
      </w:r>
      <w:r>
        <w:rPr>
          <w:rFonts w:hint="eastAsia" w:ascii="仿宋" w:hAnsi="仿宋" w:eastAsia="仿宋" w:cs="宋体"/>
          <w:color w:val="000000"/>
          <w:u w:val="single"/>
        </w:rPr>
        <w:t xml:space="preserve">   </w:t>
      </w:r>
      <w:r>
        <w:rPr>
          <w:rFonts w:hint="eastAsia" w:ascii="仿宋" w:hAnsi="仿宋" w:eastAsia="仿宋" w:cs="宋体"/>
          <w:color w:val="000000"/>
        </w:rPr>
        <w:t>年</w:t>
      </w:r>
      <w:r>
        <w:rPr>
          <w:rFonts w:hint="eastAsia" w:ascii="仿宋" w:hAnsi="仿宋" w:eastAsia="仿宋" w:cs="宋体"/>
          <w:color w:val="000000"/>
          <w:u w:val="single"/>
        </w:rPr>
        <w:t xml:space="preserve">   </w:t>
      </w:r>
      <w:r>
        <w:rPr>
          <w:rFonts w:hint="eastAsia" w:ascii="仿宋" w:hAnsi="仿宋" w:eastAsia="仿宋" w:cs="宋体"/>
          <w:color w:val="000000"/>
        </w:rPr>
        <w:t>月</w:t>
      </w:r>
      <w:r>
        <w:rPr>
          <w:rFonts w:hint="eastAsia" w:ascii="仿宋" w:hAnsi="仿宋" w:eastAsia="仿宋" w:cs="宋体"/>
          <w:color w:val="000000"/>
          <w:u w:val="single"/>
        </w:rPr>
        <w:t xml:space="preserve">   </w:t>
      </w:r>
      <w:r>
        <w:rPr>
          <w:rFonts w:hint="eastAsia" w:ascii="仿宋" w:hAnsi="仿宋" w:eastAsia="仿宋" w:cs="宋体"/>
          <w:color w:val="000000"/>
        </w:rPr>
        <w:t>日供乙方装修使用，装修期间免收经营场所服务管理费。</w:t>
      </w:r>
    </w:p>
    <w:p w14:paraId="22186A1A">
      <w:pPr>
        <w:pStyle w:val="63"/>
        <w:spacing w:line="400" w:lineRule="exact"/>
        <w:ind w:firstLine="420"/>
        <w:rPr>
          <w:rFonts w:hint="eastAsia"/>
        </w:rPr>
      </w:pPr>
    </w:p>
    <w:p w14:paraId="0A49EFBB">
      <w:pPr>
        <w:snapToGrid w:val="0"/>
        <w:spacing w:line="400" w:lineRule="exact"/>
        <w:ind w:firstLine="482" w:firstLineChars="200"/>
        <w:outlineLvl w:val="0"/>
        <w:rPr>
          <w:rFonts w:hint="eastAsia" w:ascii="黑体" w:hAnsi="黑体" w:eastAsia="黑体"/>
          <w:b/>
          <w:kern w:val="2"/>
          <w:szCs w:val="28"/>
        </w:rPr>
      </w:pPr>
      <w:r>
        <w:rPr>
          <w:rFonts w:hint="eastAsia" w:ascii="黑体" w:hAnsi="黑体" w:eastAsia="黑体"/>
          <w:b/>
          <w:kern w:val="2"/>
          <w:szCs w:val="28"/>
        </w:rPr>
        <w:t>第三条费用及支付</w:t>
      </w:r>
    </w:p>
    <w:p w14:paraId="7F605A5C">
      <w:pPr>
        <w:snapToGrid w:val="0"/>
        <w:spacing w:line="400" w:lineRule="exact"/>
        <w:ind w:firstLine="480" w:firstLineChars="200"/>
        <w:outlineLvl w:val="0"/>
        <w:rPr>
          <w:rFonts w:ascii="仿宋" w:hAnsi="仿宋" w:eastAsia="仿宋" w:cs="宋体"/>
          <w:color w:val="000000"/>
        </w:rPr>
      </w:pPr>
      <w:r>
        <w:rPr>
          <w:rFonts w:hint="eastAsia" w:ascii="仿宋" w:hAnsi="仿宋" w:eastAsia="仿宋" w:cs="宋体"/>
          <w:color w:val="000000"/>
        </w:rPr>
        <w:t>（一）</w:t>
      </w:r>
      <w:r>
        <w:rPr>
          <w:rFonts w:hint="eastAsia" w:ascii="仿宋" w:hAnsi="仿宋" w:eastAsia="仿宋" w:cs="宋体"/>
        </w:rPr>
        <w:t>综合服务费首年含税单价为</w:t>
      </w:r>
      <w:r>
        <w:rPr>
          <w:rFonts w:hint="eastAsia" w:ascii="仿宋" w:hAnsi="仿宋" w:eastAsia="仿宋" w:cs="宋体"/>
          <w:u w:val="single"/>
        </w:rPr>
        <w:t xml:space="preserve">     </w:t>
      </w:r>
      <w:r>
        <w:rPr>
          <w:rFonts w:hint="eastAsia" w:ascii="仿宋" w:hAnsi="仿宋" w:eastAsia="仿宋" w:cs="宋体"/>
        </w:rPr>
        <w:t>元/平方米，并按每年</w:t>
      </w:r>
      <w:r>
        <w:rPr>
          <w:rFonts w:hint="eastAsia" w:ascii="仿宋" w:hAnsi="仿宋" w:eastAsia="仿宋" w:cs="宋体"/>
          <w:u w:val="single"/>
        </w:rPr>
        <w:t xml:space="preserve">     </w:t>
      </w:r>
      <w:r>
        <w:rPr>
          <w:rFonts w:hint="eastAsia" w:ascii="仿宋" w:hAnsi="仿宋" w:eastAsia="仿宋" w:cs="宋体"/>
        </w:rPr>
        <w:t>%的幅度递增，</w:t>
      </w:r>
      <w:r>
        <w:rPr>
          <w:rFonts w:ascii="仿宋" w:hAnsi="仿宋" w:eastAsia="仿宋" w:cs="宋体"/>
        </w:rPr>
        <w:t>合计为人民币</w:t>
      </w:r>
      <w:r>
        <w:rPr>
          <w:rFonts w:hint="eastAsia" w:ascii="仿宋" w:hAnsi="仿宋" w:eastAsia="仿宋" w:cs="宋体"/>
        </w:rPr>
        <w:t>（</w:t>
      </w:r>
      <w:r>
        <w:rPr>
          <w:rFonts w:ascii="仿宋" w:hAnsi="仿宋" w:eastAsia="仿宋" w:cs="宋体"/>
        </w:rPr>
        <w:t>大写金额</w:t>
      </w:r>
      <w:r>
        <w:rPr>
          <w:rFonts w:hint="eastAsia" w:ascii="仿宋" w:hAnsi="仿宋" w:eastAsia="仿宋" w:cs="宋体"/>
        </w:rPr>
        <w:t>）</w:t>
      </w:r>
      <w:r>
        <w:rPr>
          <w:rFonts w:hint="eastAsia" w:ascii="仿宋" w:hAnsi="仿宋" w:eastAsia="仿宋" w:cs="宋体"/>
          <w:u w:val="single"/>
        </w:rPr>
        <w:t xml:space="preserve">       </w:t>
      </w:r>
      <w:r>
        <w:rPr>
          <w:rFonts w:hint="eastAsia" w:ascii="仿宋" w:hAnsi="仿宋" w:eastAsia="仿宋" w:cs="宋体"/>
        </w:rPr>
        <w:t>元整（</w:t>
      </w:r>
      <w:r>
        <w:rPr>
          <w:rFonts w:hint="eastAsia" w:ascii="仿宋" w:hAnsi="仿宋" w:eastAsia="仿宋" w:cs="宋体"/>
          <w:u w:val="single"/>
        </w:rPr>
        <w:t>¥</w:t>
      </w:r>
      <w:r>
        <w:rPr>
          <w:rFonts w:ascii="仿宋" w:hAnsi="仿宋" w:eastAsia="仿宋" w:cs="宋体"/>
          <w:u w:val="single"/>
        </w:rPr>
        <w:t xml:space="preserve">     </w:t>
      </w:r>
      <w:r>
        <w:rPr>
          <w:rFonts w:ascii="仿宋" w:hAnsi="仿宋" w:eastAsia="仿宋" w:cs="宋体"/>
        </w:rPr>
        <w:t>.00</w:t>
      </w:r>
      <w:r>
        <w:rPr>
          <w:rFonts w:hint="eastAsia" w:ascii="仿宋" w:hAnsi="仿宋" w:eastAsia="仿宋" w:cs="宋体"/>
        </w:rPr>
        <w:t>），不含税金额为</w:t>
      </w:r>
      <w:r>
        <w:rPr>
          <w:rFonts w:hint="eastAsia" w:ascii="仿宋" w:hAnsi="仿宋" w:eastAsia="仿宋" w:cs="宋体"/>
          <w:u w:val="single"/>
        </w:rPr>
        <w:t>¥</w:t>
      </w:r>
      <w:r>
        <w:rPr>
          <w:rFonts w:ascii="仿宋" w:hAnsi="仿宋" w:eastAsia="仿宋" w:cs="宋体"/>
          <w:u w:val="single"/>
        </w:rPr>
        <w:t xml:space="preserve">    </w:t>
      </w:r>
      <w:r>
        <w:rPr>
          <w:rFonts w:ascii="仿宋" w:hAnsi="仿宋" w:eastAsia="仿宋" w:cs="宋体"/>
        </w:rPr>
        <w:t>.</w:t>
      </w:r>
      <w:r>
        <w:rPr>
          <w:rFonts w:hint="eastAsia" w:ascii="仿宋" w:hAnsi="仿宋" w:eastAsia="仿宋" w:cs="宋体"/>
        </w:rPr>
        <w:t>00；</w:t>
      </w:r>
      <w:r>
        <w:rPr>
          <w:rFonts w:ascii="仿宋" w:hAnsi="仿宋" w:eastAsia="仿宋" w:cs="宋体"/>
        </w:rPr>
        <w:t>（</w:t>
      </w:r>
      <w:r>
        <w:rPr>
          <w:rFonts w:hint="eastAsia" w:ascii="仿宋" w:hAnsi="仿宋" w:eastAsia="仿宋" w:cs="宋体"/>
        </w:rPr>
        <w:t>综合服务费=综合服务费单价*面积*天数</w:t>
      </w:r>
      <w:r>
        <w:rPr>
          <w:rFonts w:ascii="仿宋" w:hAnsi="仿宋" w:eastAsia="仿宋" w:cs="宋体"/>
        </w:rPr>
        <w:t>），其中：</w:t>
      </w:r>
    </w:p>
    <w:p w14:paraId="63DE9565">
      <w:pPr>
        <w:spacing w:line="400" w:lineRule="exact"/>
        <w:ind w:firstLine="480" w:firstLineChars="200"/>
        <w:rPr>
          <w:rFonts w:ascii="仿宋" w:hAnsi="仿宋" w:eastAsia="仿宋" w:cs="宋体"/>
          <w:color w:val="000000"/>
        </w:rPr>
      </w:pPr>
      <w:r>
        <w:rPr>
          <w:rFonts w:ascii="仿宋" w:hAnsi="仿宋" w:eastAsia="仿宋" w:cs="宋体"/>
          <w:color w:val="000000"/>
        </w:rPr>
        <w:t>1.第一个经营年度（年月日至年月日）</w:t>
      </w:r>
      <w:r>
        <w:rPr>
          <w:rFonts w:hint="eastAsia" w:ascii="仿宋" w:hAnsi="仿宋" w:eastAsia="仿宋" w:cs="宋体"/>
          <w:color w:val="000000"/>
        </w:rPr>
        <w:t>综合服务费</w:t>
      </w:r>
      <w:r>
        <w:rPr>
          <w:rFonts w:ascii="仿宋" w:hAnsi="仿宋" w:eastAsia="仿宋" w:cs="宋体"/>
          <w:color w:val="000000"/>
        </w:rPr>
        <w:t>为</w:t>
      </w:r>
      <w:r>
        <w:rPr>
          <w:rFonts w:hint="eastAsia" w:ascii="仿宋" w:hAnsi="仿宋" w:eastAsia="仿宋" w:cs="宋体"/>
          <w:color w:val="000000"/>
          <w:u w:val="single"/>
        </w:rPr>
        <w:t>¥</w:t>
      </w:r>
      <w:r>
        <w:rPr>
          <w:rFonts w:ascii="仿宋" w:hAnsi="仿宋" w:eastAsia="仿宋" w:cs="宋体"/>
          <w:color w:val="000000"/>
          <w:u w:val="single"/>
        </w:rPr>
        <w:t xml:space="preserve">      </w:t>
      </w:r>
      <w:r>
        <w:rPr>
          <w:rFonts w:ascii="仿宋" w:hAnsi="仿宋" w:eastAsia="仿宋" w:cs="宋体"/>
          <w:color w:val="000000"/>
        </w:rPr>
        <w:t>.00</w:t>
      </w:r>
      <w:r>
        <w:rPr>
          <w:rFonts w:hint="eastAsia" w:ascii="仿宋" w:hAnsi="仿宋" w:eastAsia="仿宋" w:cs="宋体"/>
          <w:color w:val="000000"/>
        </w:rPr>
        <w:t>；</w:t>
      </w:r>
    </w:p>
    <w:p w14:paraId="15D8BBA0">
      <w:pPr>
        <w:spacing w:line="400" w:lineRule="exact"/>
        <w:ind w:firstLine="480" w:firstLineChars="200"/>
        <w:rPr>
          <w:rFonts w:ascii="仿宋" w:hAnsi="仿宋" w:eastAsia="仿宋" w:cs="宋体"/>
          <w:color w:val="000000"/>
        </w:rPr>
      </w:pPr>
      <w:r>
        <w:rPr>
          <w:rFonts w:ascii="仿宋" w:hAnsi="仿宋" w:eastAsia="仿宋" w:cs="宋体"/>
          <w:color w:val="000000"/>
        </w:rPr>
        <w:t>2.第二个经营年度（年月日至年月日）</w:t>
      </w:r>
      <w:r>
        <w:rPr>
          <w:rFonts w:hint="eastAsia" w:ascii="仿宋" w:hAnsi="仿宋" w:eastAsia="仿宋" w:cs="宋体"/>
          <w:color w:val="000000"/>
        </w:rPr>
        <w:t>综合服务费</w:t>
      </w:r>
      <w:r>
        <w:rPr>
          <w:rFonts w:ascii="仿宋" w:hAnsi="仿宋" w:eastAsia="仿宋" w:cs="宋体"/>
          <w:color w:val="000000"/>
        </w:rPr>
        <w:t>为</w:t>
      </w:r>
      <w:r>
        <w:rPr>
          <w:rFonts w:hint="eastAsia" w:ascii="仿宋" w:hAnsi="仿宋" w:eastAsia="仿宋" w:cs="宋体"/>
          <w:color w:val="000000"/>
          <w:u w:val="single"/>
        </w:rPr>
        <w:t>¥</w:t>
      </w:r>
      <w:r>
        <w:rPr>
          <w:rFonts w:ascii="仿宋" w:hAnsi="仿宋" w:eastAsia="仿宋" w:cs="宋体"/>
          <w:color w:val="000000"/>
          <w:u w:val="single"/>
        </w:rPr>
        <w:t xml:space="preserve">      </w:t>
      </w:r>
      <w:r>
        <w:rPr>
          <w:rFonts w:ascii="仿宋" w:hAnsi="仿宋" w:eastAsia="仿宋" w:cs="宋体"/>
          <w:color w:val="000000"/>
        </w:rPr>
        <w:t>.00；</w:t>
      </w:r>
    </w:p>
    <w:p w14:paraId="0853989D">
      <w:pPr>
        <w:spacing w:line="400" w:lineRule="exact"/>
        <w:ind w:firstLine="480" w:firstLineChars="200"/>
        <w:rPr>
          <w:rFonts w:ascii="仿宋" w:hAnsi="仿宋" w:eastAsia="仿宋" w:cs="宋体"/>
          <w:color w:val="000000"/>
        </w:rPr>
      </w:pPr>
      <w:r>
        <w:rPr>
          <w:rFonts w:hint="eastAsia" w:ascii="仿宋" w:hAnsi="仿宋" w:eastAsia="仿宋" w:cs="宋体"/>
          <w:color w:val="000000"/>
        </w:rPr>
        <w:t>3</w:t>
      </w:r>
      <w:r>
        <w:rPr>
          <w:rFonts w:ascii="仿宋" w:hAnsi="仿宋" w:eastAsia="仿宋" w:cs="宋体"/>
          <w:color w:val="000000"/>
        </w:rPr>
        <w:t>.第</w:t>
      </w:r>
      <w:r>
        <w:rPr>
          <w:rFonts w:hint="eastAsia" w:ascii="仿宋" w:hAnsi="仿宋" w:eastAsia="仿宋" w:cs="宋体"/>
          <w:color w:val="000000"/>
        </w:rPr>
        <w:t>三</w:t>
      </w:r>
      <w:r>
        <w:rPr>
          <w:rFonts w:ascii="仿宋" w:hAnsi="仿宋" w:eastAsia="仿宋" w:cs="宋体"/>
          <w:color w:val="000000"/>
        </w:rPr>
        <w:t>个经营年度（年月日至年月日）</w:t>
      </w:r>
      <w:r>
        <w:rPr>
          <w:rFonts w:hint="eastAsia" w:ascii="仿宋" w:hAnsi="仿宋" w:eastAsia="仿宋" w:cs="宋体"/>
          <w:color w:val="000000"/>
        </w:rPr>
        <w:t>综合服务费</w:t>
      </w:r>
      <w:r>
        <w:rPr>
          <w:rFonts w:ascii="仿宋" w:hAnsi="仿宋" w:eastAsia="仿宋" w:cs="宋体"/>
          <w:color w:val="000000"/>
        </w:rPr>
        <w:t>为</w:t>
      </w:r>
      <w:r>
        <w:rPr>
          <w:rFonts w:hint="eastAsia" w:ascii="仿宋" w:hAnsi="仿宋" w:eastAsia="仿宋" w:cs="宋体"/>
          <w:color w:val="000000"/>
          <w:u w:val="single"/>
        </w:rPr>
        <w:t>¥</w:t>
      </w:r>
      <w:r>
        <w:rPr>
          <w:rFonts w:ascii="仿宋" w:hAnsi="仿宋" w:eastAsia="仿宋" w:cs="宋体"/>
          <w:color w:val="000000"/>
          <w:u w:val="single"/>
        </w:rPr>
        <w:t xml:space="preserve">      </w:t>
      </w:r>
      <w:r>
        <w:rPr>
          <w:rFonts w:ascii="仿宋" w:hAnsi="仿宋" w:eastAsia="仿宋" w:cs="宋体"/>
          <w:color w:val="000000"/>
        </w:rPr>
        <w:t>.00</w:t>
      </w:r>
      <w:r>
        <w:rPr>
          <w:rFonts w:hint="eastAsia" w:ascii="仿宋" w:hAnsi="仿宋" w:eastAsia="仿宋" w:cs="宋体"/>
          <w:color w:val="000000"/>
        </w:rPr>
        <w:t>。</w:t>
      </w:r>
    </w:p>
    <w:p w14:paraId="769B9204">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（二）</w:t>
      </w:r>
      <w:r>
        <w:rPr>
          <w:rFonts w:ascii="仿宋" w:hAnsi="仿宋" w:eastAsia="仿宋" w:cs="宋体"/>
          <w:color w:val="000000"/>
        </w:rPr>
        <w:t>按照先付后使用原则，乙方按每</w:t>
      </w:r>
      <w:r>
        <w:rPr>
          <w:rFonts w:hint="eastAsia" w:ascii="仿宋" w:hAnsi="仿宋" w:eastAsia="仿宋" w:cs="宋体"/>
          <w:color w:val="000000"/>
          <w:u w:val="single"/>
        </w:rPr>
        <w:t xml:space="preserve">     </w:t>
      </w:r>
      <w:r>
        <w:rPr>
          <w:rFonts w:hint="eastAsia" w:ascii="仿宋" w:hAnsi="仿宋" w:eastAsia="仿宋" w:cs="宋体"/>
          <w:color w:val="000000"/>
        </w:rPr>
        <w:t>个月付款一次向甲方支付综合服务费。具体支付方式为：</w:t>
      </w:r>
    </w:p>
    <w:p w14:paraId="652C84FC">
      <w:pPr>
        <w:spacing w:line="400" w:lineRule="exact"/>
        <w:ind w:firstLine="480" w:firstLineChars="200"/>
        <w:contextualSpacing/>
        <w:rPr>
          <w:rFonts w:ascii="仿宋" w:hAnsi="仿宋" w:eastAsia="仿宋" w:cs="宋体"/>
          <w:color w:val="000000"/>
        </w:rPr>
      </w:pPr>
      <w:r>
        <w:rPr>
          <w:rFonts w:ascii="仿宋" w:hAnsi="仿宋" w:eastAsia="仿宋" w:cs="宋体"/>
          <w:color w:val="000000"/>
        </w:rPr>
        <w:t>1.乙方须在本合同</w:t>
      </w:r>
      <w:r>
        <w:rPr>
          <w:rFonts w:hint="eastAsia" w:ascii="仿宋" w:hAnsi="仿宋" w:eastAsia="仿宋" w:cs="宋体"/>
          <w:color w:val="000000"/>
        </w:rPr>
        <w:t>经营期限起始之日起</w:t>
      </w:r>
      <w:r>
        <w:rPr>
          <w:rFonts w:ascii="仿宋" w:hAnsi="仿宋" w:eastAsia="仿宋" w:cs="宋体"/>
          <w:b/>
          <w:color w:val="000000"/>
        </w:rPr>
        <w:t>10</w:t>
      </w:r>
      <w:r>
        <w:rPr>
          <w:rFonts w:ascii="仿宋" w:hAnsi="仿宋" w:eastAsia="仿宋" w:cs="宋体"/>
          <w:color w:val="000000"/>
        </w:rPr>
        <w:t>个工作日内完成支付第一期</w:t>
      </w:r>
      <w:r>
        <w:rPr>
          <w:rFonts w:hint="eastAsia" w:ascii="仿宋" w:hAnsi="仿宋" w:eastAsia="仿宋" w:cs="宋体"/>
          <w:color w:val="000000"/>
        </w:rPr>
        <w:t>综合服务费</w:t>
      </w:r>
      <w:r>
        <w:rPr>
          <w:rFonts w:ascii="仿宋" w:hAnsi="仿宋" w:eastAsia="仿宋" w:cs="宋体"/>
          <w:color w:val="000000"/>
        </w:rPr>
        <w:t>，金额</w:t>
      </w:r>
      <w:r>
        <w:rPr>
          <w:rFonts w:hint="eastAsia" w:ascii="仿宋" w:hAnsi="仿宋" w:eastAsia="仿宋" w:cs="宋体"/>
          <w:color w:val="000000"/>
          <w:u w:val="single"/>
        </w:rPr>
        <w:t>¥</w:t>
      </w:r>
      <w:r>
        <w:rPr>
          <w:rFonts w:ascii="仿宋" w:hAnsi="仿宋" w:eastAsia="仿宋" w:cs="宋体"/>
          <w:color w:val="000000"/>
          <w:u w:val="single"/>
        </w:rPr>
        <w:t xml:space="preserve">         </w:t>
      </w:r>
      <w:r>
        <w:rPr>
          <w:rFonts w:ascii="仿宋" w:hAnsi="仿宋" w:eastAsia="仿宋" w:cs="宋体"/>
          <w:color w:val="000000"/>
        </w:rPr>
        <w:t>.00</w:t>
      </w:r>
      <w:r>
        <w:rPr>
          <w:rFonts w:hint="eastAsia" w:ascii="仿宋" w:hAnsi="仿宋" w:eastAsia="仿宋" w:cs="宋体"/>
          <w:color w:val="000000"/>
        </w:rPr>
        <w:t>；</w:t>
      </w:r>
    </w:p>
    <w:p w14:paraId="7931F2C4">
      <w:pPr>
        <w:spacing w:line="400" w:lineRule="exact"/>
        <w:ind w:firstLine="480" w:firstLineChars="200"/>
        <w:contextualSpacing/>
        <w:rPr>
          <w:rFonts w:ascii="仿宋" w:hAnsi="仿宋" w:eastAsia="仿宋" w:cs="宋体"/>
          <w:color w:val="000000"/>
        </w:rPr>
      </w:pPr>
      <w:r>
        <w:rPr>
          <w:rFonts w:ascii="仿宋" w:hAnsi="仿宋" w:eastAsia="仿宋" w:cs="宋体"/>
          <w:color w:val="000000"/>
        </w:rPr>
        <w:t>2.乙方应按以下时间和金额将后续</w:t>
      </w:r>
      <w:r>
        <w:rPr>
          <w:rFonts w:hint="eastAsia" w:ascii="仿宋" w:hAnsi="仿宋" w:eastAsia="仿宋" w:cs="宋体"/>
          <w:color w:val="000000"/>
        </w:rPr>
        <w:t>综合服务费</w:t>
      </w:r>
      <w:r>
        <w:rPr>
          <w:rFonts w:ascii="仿宋" w:hAnsi="仿宋" w:eastAsia="仿宋" w:cs="宋体"/>
          <w:color w:val="000000"/>
        </w:rPr>
        <w:t>支付至甲方指定账户：</w:t>
      </w:r>
    </w:p>
    <w:p w14:paraId="23D9FF0A">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第二期：</w:t>
      </w:r>
      <w:r>
        <w:rPr>
          <w:rFonts w:hint="eastAsia" w:ascii="仿宋" w:hAnsi="仿宋" w:eastAsia="仿宋" w:cs="宋体"/>
          <w:color w:val="000000"/>
          <w:u w:val="single"/>
        </w:rPr>
        <w:t xml:space="preserve">  </w:t>
      </w:r>
      <w:r>
        <w:rPr>
          <w:rFonts w:hint="eastAsia" w:ascii="仿宋" w:hAnsi="仿宋" w:eastAsia="仿宋" w:cs="宋体"/>
          <w:color w:val="000000"/>
        </w:rPr>
        <w:t>年</w:t>
      </w:r>
      <w:r>
        <w:rPr>
          <w:rFonts w:hint="eastAsia" w:ascii="仿宋" w:hAnsi="仿宋" w:eastAsia="仿宋" w:cs="宋体"/>
          <w:color w:val="000000"/>
          <w:u w:val="single"/>
        </w:rPr>
        <w:t xml:space="preserve">  </w:t>
      </w:r>
      <w:r>
        <w:rPr>
          <w:rFonts w:hint="eastAsia" w:ascii="仿宋" w:hAnsi="仿宋" w:eastAsia="仿宋" w:cs="宋体"/>
          <w:color w:val="000000"/>
        </w:rPr>
        <w:t>月</w:t>
      </w:r>
      <w:r>
        <w:rPr>
          <w:rFonts w:ascii="仿宋" w:hAnsi="仿宋" w:eastAsia="仿宋" w:cs="宋体"/>
          <w:color w:val="000000"/>
        </w:rPr>
        <w:t>25</w:t>
      </w:r>
      <w:r>
        <w:rPr>
          <w:rFonts w:hint="eastAsia" w:ascii="仿宋" w:hAnsi="仿宋" w:eastAsia="仿宋" w:cs="宋体"/>
          <w:color w:val="000000"/>
        </w:rPr>
        <w:t>日前支付</w:t>
      </w:r>
      <w:r>
        <w:rPr>
          <w:rFonts w:hint="eastAsia" w:ascii="仿宋" w:hAnsi="仿宋" w:eastAsia="仿宋" w:cs="宋体"/>
          <w:color w:val="000000"/>
          <w:u w:val="single"/>
        </w:rPr>
        <w:t>¥</w:t>
      </w:r>
      <w:r>
        <w:rPr>
          <w:rFonts w:ascii="仿宋" w:hAnsi="仿宋" w:eastAsia="仿宋" w:cs="宋体"/>
          <w:color w:val="000000"/>
          <w:u w:val="single"/>
        </w:rPr>
        <w:t xml:space="preserve">          </w:t>
      </w:r>
      <w:r>
        <w:rPr>
          <w:rFonts w:ascii="仿宋" w:hAnsi="仿宋" w:eastAsia="仿宋" w:cs="宋体"/>
          <w:color w:val="000000"/>
        </w:rPr>
        <w:t xml:space="preserve"> .00</w:t>
      </w:r>
      <w:r>
        <w:rPr>
          <w:rFonts w:hint="eastAsia" w:ascii="仿宋" w:hAnsi="仿宋" w:eastAsia="仿宋" w:cs="宋体"/>
          <w:color w:val="000000"/>
        </w:rPr>
        <w:t>；</w:t>
      </w:r>
    </w:p>
    <w:p w14:paraId="480AB449">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第三期：</w:t>
      </w:r>
      <w:r>
        <w:rPr>
          <w:rFonts w:hint="eastAsia" w:ascii="仿宋" w:hAnsi="仿宋" w:eastAsia="仿宋" w:cs="宋体"/>
          <w:color w:val="000000"/>
          <w:u w:val="single"/>
        </w:rPr>
        <w:t xml:space="preserve">  </w:t>
      </w:r>
      <w:r>
        <w:rPr>
          <w:rFonts w:hint="eastAsia" w:ascii="仿宋" w:hAnsi="仿宋" w:eastAsia="仿宋" w:cs="宋体"/>
          <w:color w:val="000000"/>
        </w:rPr>
        <w:t>年</w:t>
      </w:r>
      <w:r>
        <w:rPr>
          <w:rFonts w:hint="eastAsia" w:ascii="仿宋" w:hAnsi="仿宋" w:eastAsia="仿宋" w:cs="宋体"/>
          <w:color w:val="000000"/>
          <w:u w:val="single"/>
        </w:rPr>
        <w:t xml:space="preserve">  </w:t>
      </w:r>
      <w:r>
        <w:rPr>
          <w:rFonts w:hint="eastAsia" w:ascii="仿宋" w:hAnsi="仿宋" w:eastAsia="仿宋" w:cs="宋体"/>
          <w:color w:val="000000"/>
        </w:rPr>
        <w:t>月</w:t>
      </w:r>
      <w:r>
        <w:rPr>
          <w:rFonts w:ascii="仿宋" w:hAnsi="仿宋" w:eastAsia="仿宋" w:cs="宋体"/>
          <w:color w:val="000000"/>
        </w:rPr>
        <w:t>25</w:t>
      </w:r>
      <w:r>
        <w:rPr>
          <w:rFonts w:hint="eastAsia" w:ascii="仿宋" w:hAnsi="仿宋" w:eastAsia="仿宋" w:cs="宋体"/>
          <w:color w:val="000000"/>
        </w:rPr>
        <w:t>日前支付</w:t>
      </w:r>
      <w:r>
        <w:rPr>
          <w:rFonts w:hint="eastAsia" w:ascii="仿宋" w:hAnsi="仿宋" w:eastAsia="仿宋" w:cs="宋体"/>
          <w:color w:val="000000"/>
          <w:u w:val="single"/>
        </w:rPr>
        <w:t>¥</w:t>
      </w:r>
      <w:r>
        <w:rPr>
          <w:rFonts w:ascii="仿宋" w:hAnsi="仿宋" w:eastAsia="仿宋" w:cs="宋体"/>
          <w:color w:val="000000"/>
          <w:u w:val="single"/>
        </w:rPr>
        <w:t xml:space="preserve">          </w:t>
      </w:r>
      <w:r>
        <w:rPr>
          <w:rFonts w:hint="eastAsia" w:ascii="仿宋" w:hAnsi="仿宋" w:eastAsia="仿宋" w:cs="宋体"/>
          <w:color w:val="000000"/>
        </w:rPr>
        <w:t xml:space="preserve"> .00；</w:t>
      </w:r>
    </w:p>
    <w:p w14:paraId="0455D1D4">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第四期：</w:t>
      </w:r>
      <w:r>
        <w:rPr>
          <w:rFonts w:hint="eastAsia" w:ascii="仿宋" w:hAnsi="仿宋" w:eastAsia="仿宋" w:cs="宋体"/>
          <w:color w:val="000000"/>
          <w:u w:val="single"/>
        </w:rPr>
        <w:t xml:space="preserve">  </w:t>
      </w:r>
      <w:r>
        <w:rPr>
          <w:rFonts w:hint="eastAsia" w:ascii="仿宋" w:hAnsi="仿宋" w:eastAsia="仿宋" w:cs="宋体"/>
          <w:color w:val="000000"/>
        </w:rPr>
        <w:t>年</w:t>
      </w:r>
      <w:r>
        <w:rPr>
          <w:rFonts w:hint="eastAsia" w:ascii="仿宋" w:hAnsi="仿宋" w:eastAsia="仿宋" w:cs="宋体"/>
          <w:color w:val="000000"/>
          <w:u w:val="single"/>
        </w:rPr>
        <w:t xml:space="preserve">  </w:t>
      </w:r>
      <w:r>
        <w:rPr>
          <w:rFonts w:hint="eastAsia" w:ascii="仿宋" w:hAnsi="仿宋" w:eastAsia="仿宋" w:cs="宋体"/>
          <w:color w:val="000000"/>
        </w:rPr>
        <w:t>月</w:t>
      </w:r>
      <w:r>
        <w:rPr>
          <w:rFonts w:ascii="仿宋" w:hAnsi="仿宋" w:eastAsia="仿宋" w:cs="宋体"/>
          <w:color w:val="000000"/>
        </w:rPr>
        <w:t>25</w:t>
      </w:r>
      <w:r>
        <w:rPr>
          <w:rFonts w:hint="eastAsia" w:ascii="仿宋" w:hAnsi="仿宋" w:eastAsia="仿宋" w:cs="宋体"/>
          <w:color w:val="000000"/>
        </w:rPr>
        <w:t>日前支付</w:t>
      </w:r>
      <w:r>
        <w:rPr>
          <w:rFonts w:hint="eastAsia" w:ascii="仿宋" w:hAnsi="仿宋" w:eastAsia="仿宋" w:cs="宋体"/>
          <w:color w:val="000000"/>
          <w:u w:val="single"/>
        </w:rPr>
        <w:t>¥</w:t>
      </w:r>
      <w:r>
        <w:rPr>
          <w:rFonts w:ascii="仿宋" w:hAnsi="仿宋" w:eastAsia="仿宋" w:cs="宋体"/>
          <w:color w:val="000000"/>
          <w:u w:val="single"/>
        </w:rPr>
        <w:t xml:space="preserve">          </w:t>
      </w:r>
      <w:r>
        <w:rPr>
          <w:rFonts w:hint="eastAsia" w:ascii="仿宋" w:hAnsi="仿宋" w:eastAsia="仿宋" w:cs="宋体"/>
          <w:color w:val="000000"/>
        </w:rPr>
        <w:t xml:space="preserve"> .00；</w:t>
      </w:r>
    </w:p>
    <w:p w14:paraId="3BF3D5BF">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第五期：</w:t>
      </w:r>
      <w:r>
        <w:rPr>
          <w:rFonts w:hint="eastAsia" w:ascii="仿宋" w:hAnsi="仿宋" w:eastAsia="仿宋" w:cs="宋体"/>
          <w:color w:val="000000"/>
          <w:u w:val="single"/>
        </w:rPr>
        <w:t xml:space="preserve">  </w:t>
      </w:r>
      <w:r>
        <w:rPr>
          <w:rFonts w:hint="eastAsia" w:ascii="仿宋" w:hAnsi="仿宋" w:eastAsia="仿宋" w:cs="宋体"/>
          <w:color w:val="000000"/>
        </w:rPr>
        <w:t>年</w:t>
      </w:r>
      <w:r>
        <w:rPr>
          <w:rFonts w:hint="eastAsia" w:ascii="仿宋" w:hAnsi="仿宋" w:eastAsia="仿宋" w:cs="宋体"/>
          <w:color w:val="000000"/>
          <w:u w:val="single"/>
        </w:rPr>
        <w:t xml:space="preserve">  </w:t>
      </w:r>
      <w:r>
        <w:rPr>
          <w:rFonts w:hint="eastAsia" w:ascii="仿宋" w:hAnsi="仿宋" w:eastAsia="仿宋" w:cs="宋体"/>
          <w:color w:val="000000"/>
        </w:rPr>
        <w:t>月</w:t>
      </w:r>
      <w:r>
        <w:rPr>
          <w:rFonts w:ascii="仿宋" w:hAnsi="仿宋" w:eastAsia="仿宋" w:cs="宋体"/>
          <w:color w:val="000000"/>
        </w:rPr>
        <w:t>25</w:t>
      </w:r>
      <w:r>
        <w:rPr>
          <w:rFonts w:hint="eastAsia" w:ascii="仿宋" w:hAnsi="仿宋" w:eastAsia="仿宋" w:cs="宋体"/>
          <w:color w:val="000000"/>
        </w:rPr>
        <w:t>日前支付</w:t>
      </w:r>
      <w:r>
        <w:rPr>
          <w:rFonts w:hint="eastAsia" w:ascii="仿宋" w:hAnsi="仿宋" w:eastAsia="仿宋" w:cs="宋体"/>
          <w:color w:val="000000"/>
          <w:u w:val="single"/>
        </w:rPr>
        <w:t>¥</w:t>
      </w:r>
      <w:r>
        <w:rPr>
          <w:rFonts w:ascii="仿宋" w:hAnsi="仿宋" w:eastAsia="仿宋" w:cs="宋体"/>
          <w:color w:val="000000"/>
          <w:u w:val="single"/>
        </w:rPr>
        <w:t xml:space="preserve">          </w:t>
      </w:r>
      <w:r>
        <w:rPr>
          <w:rFonts w:hint="eastAsia" w:ascii="仿宋" w:hAnsi="仿宋" w:eastAsia="仿宋" w:cs="宋体"/>
          <w:color w:val="000000"/>
        </w:rPr>
        <w:t xml:space="preserve"> .00；</w:t>
      </w:r>
    </w:p>
    <w:p w14:paraId="7637FD0B">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第六期：</w:t>
      </w:r>
      <w:r>
        <w:rPr>
          <w:rFonts w:hint="eastAsia" w:ascii="仿宋" w:hAnsi="仿宋" w:eastAsia="仿宋" w:cs="宋体"/>
          <w:color w:val="000000"/>
          <w:u w:val="single"/>
        </w:rPr>
        <w:t xml:space="preserve">  </w:t>
      </w:r>
      <w:r>
        <w:rPr>
          <w:rFonts w:hint="eastAsia" w:ascii="仿宋" w:hAnsi="仿宋" w:eastAsia="仿宋" w:cs="宋体"/>
          <w:color w:val="000000"/>
        </w:rPr>
        <w:t>年</w:t>
      </w:r>
      <w:r>
        <w:rPr>
          <w:rFonts w:hint="eastAsia" w:ascii="仿宋" w:hAnsi="仿宋" w:eastAsia="仿宋" w:cs="宋体"/>
          <w:color w:val="000000"/>
          <w:u w:val="single"/>
        </w:rPr>
        <w:t xml:space="preserve">  </w:t>
      </w:r>
      <w:r>
        <w:rPr>
          <w:rFonts w:hint="eastAsia" w:ascii="仿宋" w:hAnsi="仿宋" w:eastAsia="仿宋" w:cs="宋体"/>
          <w:color w:val="000000"/>
        </w:rPr>
        <w:t>月</w:t>
      </w:r>
      <w:r>
        <w:rPr>
          <w:rFonts w:ascii="仿宋" w:hAnsi="仿宋" w:eastAsia="仿宋" w:cs="宋体"/>
          <w:color w:val="000000"/>
        </w:rPr>
        <w:t>25</w:t>
      </w:r>
      <w:r>
        <w:rPr>
          <w:rFonts w:hint="eastAsia" w:ascii="仿宋" w:hAnsi="仿宋" w:eastAsia="仿宋" w:cs="宋体"/>
          <w:color w:val="000000"/>
        </w:rPr>
        <w:t>日前支付</w:t>
      </w:r>
      <w:r>
        <w:rPr>
          <w:rFonts w:hint="eastAsia" w:ascii="仿宋" w:hAnsi="仿宋" w:eastAsia="仿宋" w:cs="宋体"/>
          <w:color w:val="000000"/>
          <w:u w:val="single"/>
        </w:rPr>
        <w:t>¥</w:t>
      </w:r>
      <w:r>
        <w:rPr>
          <w:rFonts w:ascii="仿宋" w:hAnsi="仿宋" w:eastAsia="仿宋" w:cs="宋体"/>
          <w:color w:val="000000"/>
          <w:u w:val="single"/>
        </w:rPr>
        <w:t xml:space="preserve">          </w:t>
      </w:r>
      <w:r>
        <w:rPr>
          <w:rFonts w:hint="eastAsia" w:ascii="仿宋" w:hAnsi="仿宋" w:eastAsia="仿宋" w:cs="宋体"/>
          <w:color w:val="000000"/>
        </w:rPr>
        <w:t xml:space="preserve"> .00。</w:t>
      </w:r>
    </w:p>
    <w:p w14:paraId="088AEA41">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w:t>
      </w:r>
    </w:p>
    <w:p w14:paraId="56EA42DC">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三）上述款项为预收款，甲方根据合同收益期自然(月/季)度开具相应金额的增值税专用发票给到乙方（其中，按季开票的各自然年度的第四季度须调整为按月开票），开票税目为“现代服务”,税率为6%（如遇政策变更，以国家税务总局最新要求为准,含税价格不变）。各自然年度开票总额预计分别为以下金额，实际开票金额以当年度实际收益结算额为准：</w:t>
      </w:r>
    </w:p>
    <w:p w14:paraId="485A50B4">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u w:val="single"/>
        </w:rPr>
        <w:t xml:space="preserve">  </w:t>
      </w:r>
      <w:r>
        <w:rPr>
          <w:rFonts w:hint="eastAsia" w:ascii="仿宋" w:hAnsi="仿宋" w:eastAsia="仿宋" w:cs="宋体"/>
          <w:color w:val="000000"/>
        </w:rPr>
        <w:t>年，开票总额为</w:t>
      </w:r>
      <w:r>
        <w:rPr>
          <w:rFonts w:hint="eastAsia" w:ascii="仿宋" w:hAnsi="仿宋" w:eastAsia="仿宋" w:cs="宋体"/>
          <w:color w:val="000000"/>
          <w:u w:val="single"/>
        </w:rPr>
        <w:t>¥</w:t>
      </w:r>
      <w:r>
        <w:rPr>
          <w:rFonts w:ascii="仿宋" w:hAnsi="仿宋" w:eastAsia="仿宋" w:cs="宋体"/>
          <w:color w:val="000000"/>
          <w:u w:val="single"/>
        </w:rPr>
        <w:t xml:space="preserve">          </w:t>
      </w:r>
      <w:r>
        <w:rPr>
          <w:rFonts w:hint="eastAsia" w:ascii="仿宋" w:hAnsi="仿宋" w:eastAsia="仿宋" w:cs="宋体"/>
          <w:color w:val="000000"/>
        </w:rPr>
        <w:t>.00；</w:t>
      </w:r>
    </w:p>
    <w:p w14:paraId="4B7F03FD">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u w:val="single"/>
        </w:rPr>
        <w:t xml:space="preserve">  </w:t>
      </w:r>
      <w:r>
        <w:rPr>
          <w:rFonts w:hint="eastAsia" w:ascii="仿宋" w:hAnsi="仿宋" w:eastAsia="仿宋" w:cs="宋体"/>
          <w:color w:val="000000"/>
        </w:rPr>
        <w:t>年，开票总额为</w:t>
      </w:r>
      <w:r>
        <w:rPr>
          <w:rFonts w:hint="eastAsia" w:ascii="仿宋" w:hAnsi="仿宋" w:eastAsia="仿宋" w:cs="宋体"/>
          <w:color w:val="000000"/>
          <w:u w:val="single"/>
        </w:rPr>
        <w:t>¥</w:t>
      </w:r>
      <w:r>
        <w:rPr>
          <w:rFonts w:ascii="仿宋" w:hAnsi="仿宋" w:eastAsia="仿宋" w:cs="宋体"/>
          <w:color w:val="000000"/>
          <w:u w:val="single"/>
        </w:rPr>
        <w:t xml:space="preserve">          </w:t>
      </w:r>
      <w:r>
        <w:rPr>
          <w:rFonts w:hint="eastAsia" w:ascii="仿宋" w:hAnsi="仿宋" w:eastAsia="仿宋" w:cs="宋体"/>
          <w:color w:val="000000"/>
        </w:rPr>
        <w:t xml:space="preserve"> .00；</w:t>
      </w:r>
    </w:p>
    <w:p w14:paraId="4F07B4AB">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u w:val="single"/>
        </w:rPr>
        <w:t xml:space="preserve">  </w:t>
      </w:r>
      <w:r>
        <w:rPr>
          <w:rFonts w:hint="eastAsia" w:ascii="仿宋" w:hAnsi="仿宋" w:eastAsia="仿宋" w:cs="宋体"/>
          <w:color w:val="000000"/>
        </w:rPr>
        <w:t>年，开票总额为</w:t>
      </w:r>
      <w:r>
        <w:rPr>
          <w:rFonts w:hint="eastAsia" w:ascii="仿宋" w:hAnsi="仿宋" w:eastAsia="仿宋" w:cs="宋体"/>
          <w:color w:val="000000"/>
          <w:u w:val="single"/>
        </w:rPr>
        <w:t>¥</w:t>
      </w:r>
      <w:r>
        <w:rPr>
          <w:rFonts w:ascii="仿宋" w:hAnsi="仿宋" w:eastAsia="仿宋" w:cs="宋体"/>
          <w:color w:val="000000"/>
          <w:u w:val="single"/>
        </w:rPr>
        <w:t xml:space="preserve">          </w:t>
      </w:r>
      <w:r>
        <w:rPr>
          <w:rFonts w:hint="eastAsia" w:ascii="仿宋" w:hAnsi="仿宋" w:eastAsia="仿宋" w:cs="宋体"/>
          <w:color w:val="000000"/>
        </w:rPr>
        <w:t xml:space="preserve"> .00。</w:t>
      </w:r>
    </w:p>
    <w:p w14:paraId="0FB3FAE6">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w:t>
      </w:r>
    </w:p>
    <w:p w14:paraId="012E4BB5">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本合同涉及的综合服务费均为含税金额，税率为</w:t>
      </w:r>
      <w:r>
        <w:rPr>
          <w:rFonts w:ascii="仿宋" w:hAnsi="仿宋" w:eastAsia="仿宋" w:cs="宋体"/>
          <w:color w:val="000000"/>
        </w:rPr>
        <w:t>6%</w:t>
      </w:r>
      <w:r>
        <w:rPr>
          <w:rFonts w:hint="eastAsia" w:ascii="仿宋" w:hAnsi="仿宋" w:eastAsia="仿宋" w:cs="宋体"/>
          <w:color w:val="000000"/>
        </w:rPr>
        <w:t>，如遇国家税率调整，结算税率按国家政策执行，含税总价不做调整。</w:t>
      </w:r>
    </w:p>
    <w:p w14:paraId="47D42668">
      <w:pPr>
        <w:autoSpaceDE w:val="0"/>
        <w:autoSpaceDN w:val="0"/>
        <w:adjustRightInd w:val="0"/>
        <w:spacing w:line="370" w:lineRule="exact"/>
        <w:ind w:right="120" w:rightChars="50" w:firstLine="480" w:firstLineChars="200"/>
        <w:rPr>
          <w:rFonts w:ascii="仿宋" w:hAnsi="仿宋" w:eastAsia="仿宋" w:cs="宋体"/>
          <w:color w:val="000000"/>
        </w:rPr>
      </w:pPr>
      <w:r>
        <w:rPr>
          <w:rFonts w:hint="eastAsia" w:ascii="仿宋" w:hAnsi="仿宋" w:eastAsia="仿宋" w:cs="宋体"/>
          <w:color w:val="000000"/>
        </w:rPr>
        <w:t>（四）本合同履约保证金按综合服务费最后一经营年度的25%收取，金额为：____________元。乙方应在收到本合同项目中商/中选通知书后10个工作日内以银行转账方式全额支付，并遵守如下约定：</w:t>
      </w:r>
    </w:p>
    <w:p w14:paraId="326206F7">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1.若因乙方欠付款项或违约造成甲方经济损失，甲方有权从履约保证金中抵扣乙方欠付款项、违约金或损失赔偿款；若履约保证金金额无法覆盖乙方应付款项的，甲方有权继续向乙方追索。</w:t>
      </w:r>
    </w:p>
    <w:p w14:paraId="5F641EB1">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若本合同解除的，甲方有权在合同解除时直接抵扣履约保证金并追索相关欠款。若因乙方违约，甲方单方解除本合同的，甲方有权在解约时直接抵扣履约保证金；若甲方不选择解除本合同的，甲方有权要求乙方限期补足履约保证金。</w:t>
      </w:r>
    </w:p>
    <w:p w14:paraId="16C21CA0">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3.本合同期满终止，在扣除乙方违约金或损失赔偿款后（如有），甲方应在本合同终止后10个工作日内无息退还乙方履约保证金余额（如有）。</w:t>
      </w:r>
    </w:p>
    <w:p w14:paraId="522F9D27">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(五)其他费用</w:t>
      </w:r>
    </w:p>
    <w:p w14:paraId="4AF94183">
      <w:pPr>
        <w:pStyle w:val="63"/>
        <w:spacing w:line="400" w:lineRule="exact"/>
        <w:ind w:firstLine="480"/>
        <w:rPr>
          <w:rFonts w:ascii="仿宋" w:hAnsi="仿宋" w:eastAsia="仿宋" w:cs="宋体"/>
          <w:color w:val="000000"/>
          <w:sz w:val="24"/>
          <w:szCs w:val="24"/>
        </w:rPr>
      </w:pPr>
      <w:r>
        <w:rPr>
          <w:rFonts w:hint="eastAsia" w:ascii="仿宋" w:hAnsi="仿宋" w:eastAsia="仿宋" w:cs="宋体"/>
          <w:color w:val="000000"/>
          <w:sz w:val="24"/>
          <w:szCs w:val="24"/>
        </w:rPr>
        <w:t>乙方的经营场所须单独安装水、电表进行计量支付。乙方经营过程产生的水电费、电话和网络费、卫生保洁和垃圾清运费、防疫消杀费、安全视频监控等一切营运费用，均由乙方自行承担，并及时缴清。乙方向车站等铁路部门缴纳的水电费应向甲方备案核查，如车站铁路部门实际未收取的，暂由甲方代为收取。</w:t>
      </w:r>
    </w:p>
    <w:p w14:paraId="6435E459">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（六）双方基本信息</w:t>
      </w:r>
    </w:p>
    <w:p w14:paraId="0502519A">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甲方开票信息如下：</w:t>
      </w:r>
    </w:p>
    <w:p w14:paraId="1D4B4E39">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单位名称：上海铁路文旅传媒集团有限公司</w:t>
      </w:r>
    </w:p>
    <w:p w14:paraId="4003DA87">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统一社会信用代码：913101081322799984</w:t>
      </w:r>
    </w:p>
    <w:p w14:paraId="571A3C02">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开户银行：工行上海市天目东路支行</w:t>
      </w:r>
    </w:p>
    <w:p w14:paraId="707BD3CC">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银行账号：1001215509096784647</w:t>
      </w:r>
    </w:p>
    <w:p w14:paraId="0543CFFD">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单位地址：上海市静安区天目中路58号</w:t>
      </w:r>
    </w:p>
    <w:p w14:paraId="753D5515">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电    话：021-51236163</w:t>
      </w:r>
    </w:p>
    <w:p w14:paraId="6C9910F7">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乙方开票信息如下：</w:t>
      </w:r>
    </w:p>
    <w:p w14:paraId="52DB6220">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单位名称：</w:t>
      </w:r>
    </w:p>
    <w:p w14:paraId="33FB2FDF">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统一社会信用代码：</w:t>
      </w:r>
    </w:p>
    <w:p w14:paraId="5ADC2617">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开户银行：</w:t>
      </w:r>
    </w:p>
    <w:p w14:paraId="1E9691CF">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银行账号：</w:t>
      </w:r>
    </w:p>
    <w:p w14:paraId="50B95F50">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单位地址：</w:t>
      </w:r>
    </w:p>
    <w:p w14:paraId="4AC78556">
      <w:pPr>
        <w:spacing w:line="400" w:lineRule="exact"/>
        <w:ind w:firstLine="480" w:firstLineChars="200"/>
        <w:contextualSpacing/>
        <w:rPr>
          <w:rFonts w:ascii="仿宋" w:hAnsi="仿宋" w:eastAsia="仿宋" w:cs="宋体"/>
          <w:color w:val="000000"/>
        </w:rPr>
      </w:pPr>
      <w:r>
        <w:rPr>
          <w:rFonts w:hint="eastAsia" w:ascii="仿宋" w:hAnsi="仿宋" w:eastAsia="仿宋" w:cs="宋体"/>
          <w:color w:val="000000"/>
        </w:rPr>
        <w:t xml:space="preserve">电    话： </w:t>
      </w:r>
    </w:p>
    <w:p w14:paraId="629E4AE3">
      <w:pPr>
        <w:adjustRightInd w:val="0"/>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任何一方如需改变上述信息，应提前</w:t>
      </w:r>
      <w:r>
        <w:rPr>
          <w:rFonts w:ascii="仿宋" w:hAnsi="仿宋" w:eastAsia="仿宋" w:cs="宋体"/>
          <w:color w:val="000000"/>
        </w:rPr>
        <w:t>10个工作日以书面形式通知对方，并取得对方书面确认，否则视为未通知。如一方未按约定通知而遭受的损失均自行承担，若使对方遭受损失的，应按对方损失金额予以全额赔偿。</w:t>
      </w:r>
    </w:p>
    <w:p w14:paraId="633BBD3E">
      <w:pPr>
        <w:pStyle w:val="63"/>
        <w:spacing w:line="400" w:lineRule="exact"/>
        <w:ind w:firstLine="420"/>
      </w:pPr>
    </w:p>
    <w:p w14:paraId="156FD01F">
      <w:pPr>
        <w:pStyle w:val="63"/>
        <w:spacing w:line="400" w:lineRule="exact"/>
        <w:ind w:firstLine="482"/>
        <w:rPr>
          <w:rFonts w:hint="eastAsia" w:ascii="黑体" w:hAnsi="黑体" w:eastAsia="黑体"/>
          <w:b/>
          <w:kern w:val="2"/>
          <w:sz w:val="24"/>
          <w:szCs w:val="28"/>
        </w:rPr>
      </w:pPr>
      <w:r>
        <w:rPr>
          <w:rFonts w:hint="eastAsia" w:ascii="黑体" w:hAnsi="黑体" w:eastAsia="黑体"/>
          <w:b/>
          <w:kern w:val="2"/>
          <w:sz w:val="24"/>
          <w:szCs w:val="28"/>
        </w:rPr>
        <w:t>第四条甲方权利义务</w:t>
      </w:r>
    </w:p>
    <w:p w14:paraId="655BEAE9">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（一）甲方对上述经营场所享有合法使用和管理的权利。</w:t>
      </w:r>
    </w:p>
    <w:p w14:paraId="0628986C">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（二）保证该经营场所移交时不存在任何正在进行的诉讼和仲裁。</w:t>
      </w:r>
    </w:p>
    <w:p w14:paraId="7EB47969">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三）保证经营场所处于满足经营的状态，并承担经营场所的管理工作，定期或应乙方要求检查、修缮经营场所相关的公用设施。若有损坏，甲方应及时予以修复，费用由甲方自行负担，但因乙方原因造成的损坏，修复费用由乙方负担。</w:t>
      </w:r>
    </w:p>
    <w:p w14:paraId="19F0FEB5">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（四）保证经营场所预设的供电等管网畅通。</w:t>
      </w:r>
    </w:p>
    <w:p w14:paraId="4CEF187E">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 xml:space="preserve">（五）在本合同履行期限内，非因本合同约定或法定的原因，不得收回经营场所。    </w:t>
      </w:r>
    </w:p>
    <w:p w14:paraId="62E78B7B">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（六）为乙方在经营场所的从业人员按照规定办理进出站证件。</w:t>
      </w:r>
    </w:p>
    <w:p w14:paraId="138BC812">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（七）协调乙方进场物品按照有关规定通过安全检查。</w:t>
      </w:r>
    </w:p>
    <w:p w14:paraId="3EA51701">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（八）在乙方正常缴付应缴款项并严格履行合同条款的条件下，甲方保证其正常经营不受干扰，帮助乙方协调解决经营相关事项。</w:t>
      </w:r>
    </w:p>
    <w:p w14:paraId="3755D84B">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（九）甲方不得将乙方的信息、数据和文档泄露给第三方</w:t>
      </w:r>
      <w:r>
        <w:rPr>
          <w:rFonts w:ascii="仿宋" w:hAnsi="仿宋" w:eastAsia="仿宋" w:cs="宋体"/>
          <w:color w:val="000000"/>
        </w:rPr>
        <w:t>(</w:t>
      </w:r>
      <w:r>
        <w:rPr>
          <w:rFonts w:hint="eastAsia" w:ascii="仿宋" w:hAnsi="仿宋" w:eastAsia="仿宋" w:cs="宋体"/>
          <w:color w:val="000000"/>
        </w:rPr>
        <w:t>除依照相关法规需要对外公布的信息之外</w:t>
      </w:r>
      <w:r>
        <w:rPr>
          <w:rFonts w:ascii="仿宋" w:hAnsi="仿宋" w:eastAsia="仿宋" w:cs="宋体"/>
          <w:color w:val="000000"/>
        </w:rPr>
        <w:t>)</w:t>
      </w:r>
      <w:r>
        <w:rPr>
          <w:rFonts w:hint="eastAsia" w:ascii="仿宋" w:hAnsi="仿宋" w:eastAsia="仿宋" w:cs="宋体"/>
          <w:color w:val="000000"/>
        </w:rPr>
        <w:t>。</w:t>
      </w:r>
    </w:p>
    <w:p w14:paraId="4F283B1E">
      <w:pPr>
        <w:autoSpaceDE w:val="0"/>
        <w:autoSpaceDN w:val="0"/>
        <w:adjustRightInd w:val="0"/>
        <w:spacing w:line="400" w:lineRule="exact"/>
        <w:ind w:firstLine="480" w:firstLineChars="200"/>
        <w:rPr>
          <w:rFonts w:hint="eastAsia" w:ascii="仿宋" w:hAnsi="仿宋" w:eastAsia="仿宋" w:cs="宋体"/>
          <w:color w:val="000000"/>
        </w:rPr>
      </w:pPr>
    </w:p>
    <w:p w14:paraId="35E8BA20">
      <w:pPr>
        <w:snapToGrid w:val="0"/>
        <w:spacing w:line="400" w:lineRule="exact"/>
        <w:ind w:firstLine="482" w:firstLineChars="200"/>
        <w:outlineLvl w:val="0"/>
        <w:rPr>
          <w:rFonts w:hint="eastAsia" w:ascii="黑体" w:hAnsi="黑体" w:eastAsia="黑体"/>
          <w:b/>
          <w:kern w:val="2"/>
          <w:szCs w:val="28"/>
        </w:rPr>
      </w:pPr>
      <w:r>
        <w:rPr>
          <w:rFonts w:hint="eastAsia" w:ascii="黑体" w:hAnsi="黑体" w:eastAsia="黑体"/>
          <w:b/>
          <w:kern w:val="2"/>
          <w:szCs w:val="28"/>
        </w:rPr>
        <w:t>第五条乙方权利义务</w:t>
      </w:r>
    </w:p>
    <w:p w14:paraId="36382973">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（一）乙方在正式营业前须取得各类经营证照，并亮照经营。乙方经营证照</w:t>
      </w:r>
      <w:r>
        <w:rPr>
          <w:rFonts w:ascii="仿宋" w:hAnsi="仿宋" w:eastAsia="仿宋" w:cs="宋体"/>
          <w:color w:val="000000"/>
        </w:rPr>
        <w:t xml:space="preserve"> (</w:t>
      </w:r>
      <w:r>
        <w:rPr>
          <w:rFonts w:hint="eastAsia" w:ascii="仿宋" w:hAnsi="仿宋" w:eastAsia="仿宋" w:cs="宋体"/>
          <w:color w:val="000000"/>
        </w:rPr>
        <w:t>复印件加盖公章</w:t>
      </w:r>
      <w:r>
        <w:rPr>
          <w:rFonts w:ascii="仿宋" w:hAnsi="仿宋" w:eastAsia="仿宋" w:cs="宋体"/>
          <w:color w:val="000000"/>
        </w:rPr>
        <w:t>)</w:t>
      </w:r>
      <w:r>
        <w:rPr>
          <w:rFonts w:hint="eastAsia" w:ascii="仿宋" w:hAnsi="仿宋" w:eastAsia="仿宋" w:cs="宋体"/>
          <w:color w:val="000000"/>
        </w:rPr>
        <w:t>应交甲方备案。</w:t>
      </w:r>
    </w:p>
    <w:p w14:paraId="137BD64C">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（二）乙方应依法经营，从事专利、特许经营项目的应提供相应授权材料。</w:t>
      </w:r>
    </w:p>
    <w:p w14:paraId="5977E94D">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（三）乙方在经营场所内经营的商品或服务项目，须符合相关证照法定要求，符合铁路文件规范要求，符合项目招商文件的规定及本合同约定的经营业态和品类范围。</w:t>
      </w:r>
    </w:p>
    <w:p w14:paraId="0ACAB8B5">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（四）未经甲方书面同意，乙方不得擅自改变经营场所用途，不得调整经营业态和品牌品类。否则，乙方属严重违约。</w:t>
      </w:r>
    </w:p>
    <w:p w14:paraId="254E4776">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（五）甲乙双方应当办理场地交接（经营场所的交接确认书具体见附件</w:t>
      </w:r>
      <w:r>
        <w:rPr>
          <w:rFonts w:ascii="仿宋" w:hAnsi="仿宋" w:eastAsia="仿宋" w:cs="宋体"/>
          <w:color w:val="000000"/>
        </w:rPr>
        <w:t>4</w:t>
      </w:r>
      <w:r>
        <w:rPr>
          <w:rFonts w:hint="eastAsia" w:ascii="仿宋" w:hAnsi="仿宋" w:eastAsia="仿宋" w:cs="宋体"/>
          <w:color w:val="000000"/>
        </w:rPr>
        <w:t>），面积以场地交接时测量为准。自交接之日起场所安全义务交接给乙方。</w:t>
      </w:r>
    </w:p>
    <w:p w14:paraId="0661523F">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（六）乙方的经营活动应接受甲方统一管理，遵守甲方及铁路部门制定的相关制度办法，配合甲方的巡检和网格化管理工作。</w:t>
      </w:r>
    </w:p>
    <w:p w14:paraId="28813096">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（七）甲乙双方应签订《客站经营场所安全协议》（附件</w:t>
      </w:r>
      <w:r>
        <w:rPr>
          <w:rFonts w:ascii="仿宋" w:hAnsi="仿宋" w:eastAsia="仿宋" w:cs="宋体"/>
          <w:color w:val="000000"/>
        </w:rPr>
        <w:t>1</w:t>
      </w:r>
      <w:r>
        <w:rPr>
          <w:rFonts w:hint="eastAsia" w:ascii="仿宋" w:hAnsi="仿宋" w:eastAsia="仿宋" w:cs="宋体"/>
          <w:color w:val="000000"/>
        </w:rPr>
        <w:t>），明确双方安全管理责任。乙方须接受并配合甲方及相关安全主管部门的消防、治安、反恐、食品安全等安全管理工作。</w:t>
      </w:r>
    </w:p>
    <w:p w14:paraId="2EB32939">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（八）乙方须遵守《商家公约》（附件2），接受监督检查，并根据网格化管理要求限期完成问题整改。甲方有权按照《商家公约》规定，对乙方违约事项进行对标考核。</w:t>
      </w:r>
    </w:p>
    <w:p w14:paraId="2BF5A03B">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（九）甲乙双方应共同建立商业服务定期协调、定期信息沟通、客户投诉处理、应急联动处置等工作机制，乙方应按时参加甲方组织的各类会议和培训，共同提升商业服务水平。</w:t>
      </w:r>
    </w:p>
    <w:p w14:paraId="18CD548C">
      <w:pPr>
        <w:pStyle w:val="63"/>
        <w:spacing w:line="400" w:lineRule="exact"/>
        <w:ind w:firstLine="420"/>
      </w:pPr>
    </w:p>
    <w:p w14:paraId="5850BADF">
      <w:pPr>
        <w:pStyle w:val="63"/>
        <w:spacing w:line="400" w:lineRule="exact"/>
        <w:ind w:firstLine="482"/>
        <w:rPr>
          <w:rFonts w:ascii="黑体" w:hAnsi="黑体" w:eastAsia="黑体"/>
          <w:b/>
          <w:kern w:val="2"/>
          <w:sz w:val="24"/>
          <w:szCs w:val="28"/>
        </w:rPr>
      </w:pPr>
      <w:r>
        <w:rPr>
          <w:rFonts w:hint="eastAsia" w:ascii="黑体" w:hAnsi="黑体" w:eastAsia="黑体"/>
          <w:b/>
          <w:kern w:val="2"/>
          <w:sz w:val="24"/>
          <w:szCs w:val="28"/>
        </w:rPr>
        <w:t>第六条经营场所装修及开业</w:t>
      </w:r>
    </w:p>
    <w:p w14:paraId="03263E48">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（一）装修设计</w:t>
      </w:r>
    </w:p>
    <w:p w14:paraId="16322969">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1.乙方对经营场所装修应符合甲方的施工质量安全标准,并经甲方审批同意。</w:t>
      </w:r>
    </w:p>
    <w:p w14:paraId="50BFC88D">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2.甲方负责对客站商业形象进行报批审核，乙方应按商业形象设计要求完成经营场所装修效果图和施工图的设计，包含门楣的设计。</w:t>
      </w:r>
    </w:p>
    <w:p w14:paraId="6E8D68C8">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3.乙方应以纸质版形式向甲方提报装修方案，方案包括但不限于平面图、立面图、效果图、装修材质、装修总价及明细等，经甲方及相关铁路单位审核通过后方可进行施工图设计。</w:t>
      </w:r>
    </w:p>
    <w:p w14:paraId="53E85AC4">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4.装修审批。乙方对经营场所的装修，必须先通过消防管理部门的设计审查。</w:t>
      </w:r>
    </w:p>
    <w:p w14:paraId="6FC5E0A8">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(二)装修施工</w:t>
      </w:r>
    </w:p>
    <w:p w14:paraId="4B8B4005">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乙方装修施工进场必须报经甲方同意。甲方对乙方装修施工实行统一管理、检查、督促。乙方在装修施工期间必须服从甲方、车站等铁路部门及消防、公安、交警、卫生检疫等相关部门的管理，并遵守相关规定。</w:t>
      </w:r>
    </w:p>
    <w:p w14:paraId="685D3FE5">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2.乙方装修不得损害经营场所的房屋建筑结构</w:t>
      </w:r>
      <w:r>
        <w:rPr>
          <w:rFonts w:ascii="仿宋" w:hAnsi="仿宋" w:eastAsia="仿宋" w:cs="宋体"/>
          <w:color w:val="000000"/>
        </w:rPr>
        <w:t>(</w:t>
      </w:r>
      <w:r>
        <w:rPr>
          <w:rFonts w:hint="eastAsia" w:ascii="仿宋" w:hAnsi="仿宋" w:eastAsia="仿宋" w:cs="宋体"/>
          <w:color w:val="000000"/>
        </w:rPr>
        <w:t>包括但不限于外立面及承重部分</w:t>
      </w:r>
      <w:r>
        <w:rPr>
          <w:rFonts w:ascii="仿宋" w:hAnsi="仿宋" w:eastAsia="仿宋" w:cs="宋体"/>
          <w:color w:val="000000"/>
        </w:rPr>
        <w:t>)</w:t>
      </w:r>
      <w:r>
        <w:rPr>
          <w:rFonts w:hint="eastAsia" w:ascii="仿宋" w:hAnsi="仿宋" w:eastAsia="仿宋" w:cs="宋体"/>
          <w:color w:val="000000"/>
        </w:rPr>
        <w:t>及配套设备。装修不得影响防火系统、消防、安全通道。施工过程需使用电焊时，必须事先告知甲方，办理完成相关手续后，在保证符合防火安全要求的前提下方可组织施工。</w:t>
      </w:r>
    </w:p>
    <w:p w14:paraId="2B9A1F50">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装修期间，乙方需派项目经理负责施工现场施工及相关协调工作，并对站房设备、设施及已完工工程采取有效保护，且不干扰甲方或第三方在附近区域的经营活动，如因乙方原因致使甲方或第三方受到损失的，因乙方原因未在规定时间内竣工的，乙方应承担相应的法律责任和经济责任。</w:t>
      </w:r>
    </w:p>
    <w:p w14:paraId="0C1CF12D">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(三)装修竣工验收</w:t>
      </w:r>
    </w:p>
    <w:p w14:paraId="72593C18">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1.乙方负责装修竣工验收和消防验收，应提前3个工作日通知甲方参加验收。</w:t>
      </w:r>
    </w:p>
    <w:p w14:paraId="446E82E2">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2.竣工验收完毕，乙方须向甲方提供包括隐蔽工程、电线路等全套装修施工图纸。</w:t>
      </w:r>
    </w:p>
    <w:p w14:paraId="71D22E66">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3.进入经营场所的用电设备必须是全新的，乙方应向甲方提供该产品合格证书及输入功率等相关电气参数的复印件，经甲方核备后方可使用。电线路应满足夜间断电要求，否则不得开业。</w:t>
      </w:r>
    </w:p>
    <w:p w14:paraId="60302847">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4.装修费用。乙方自行承担装修施工费用、装修施工配合费、装修施工建筑垃圾清运费等费用。本合同提前解除或到期终止，乙方不得要求甲方对装修进行补偿。</w:t>
      </w:r>
    </w:p>
    <w:p w14:paraId="3E419F94">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(四)经营场所的归还</w:t>
      </w:r>
    </w:p>
    <w:p w14:paraId="179BDA34">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合同根据上述约定终止后5个工作日内，乙方撤除自有物品和自行投资部分，将经营场所交还甲方。乙方不得拆除、不得破坏铁路方和甲方投资的设施设备。乙方将经营场所返还甲方，并经甲方验收后，甲方退还乙方履约保证金。</w:t>
      </w:r>
    </w:p>
    <w:p w14:paraId="53410288">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2.乙方逾期未撤除的物品，甲方无保管义务，视为乙方委托甲方全权处理乙方遗留的物品及拆除经营场所的装修，乙方不得向甲方要求补偿或赔偿。甲方代为清理后，有权追索乙方应支付的费用。</w:t>
      </w:r>
    </w:p>
    <w:p w14:paraId="246922CF">
      <w:pPr>
        <w:pStyle w:val="63"/>
        <w:spacing w:line="400" w:lineRule="exact"/>
        <w:ind w:firstLine="420"/>
        <w:rPr>
          <w:rFonts w:hint="eastAsia"/>
        </w:rPr>
      </w:pPr>
    </w:p>
    <w:p w14:paraId="5999D80E">
      <w:pPr>
        <w:spacing w:line="400" w:lineRule="exact"/>
        <w:ind w:firstLine="482" w:firstLineChars="200"/>
        <w:rPr>
          <w:rFonts w:ascii="黑体" w:hAnsi="黑体" w:eastAsia="黑体"/>
          <w:b/>
          <w:kern w:val="2"/>
          <w:szCs w:val="28"/>
        </w:rPr>
      </w:pPr>
      <w:r>
        <w:rPr>
          <w:rFonts w:hint="eastAsia" w:ascii="黑体" w:hAnsi="黑体" w:eastAsia="黑体"/>
          <w:b/>
          <w:kern w:val="2"/>
          <w:szCs w:val="28"/>
        </w:rPr>
        <w:t>第七条合同的变更和解除</w:t>
      </w:r>
    </w:p>
    <w:p w14:paraId="7CA84A63">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（一）综合服务费用核减</w:t>
      </w:r>
    </w:p>
    <w:p w14:paraId="1589D984">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 xml:space="preserve">1.因车站施工、重大活动等铁路方原因导致客站经营场所被全封闭或因停水停电无法营业，且连续停业超过5天的，对客站经营场所厅超过5天的实际停业天数免收综合服务费； </w:t>
      </w:r>
    </w:p>
    <w:p w14:paraId="587C8044">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2.因以上情形，导致客站经营场所停业5天及以内的，不减免合同各项费用。合作企业自身原因导致客站经营场所停业或被公司责令停业的，不减免合同各项费用。</w:t>
      </w:r>
    </w:p>
    <w:p w14:paraId="016F6395">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（二）合同的解除</w:t>
      </w:r>
    </w:p>
    <w:p w14:paraId="13FA97C6">
      <w:pPr>
        <w:autoSpaceDE w:val="0"/>
        <w:autoSpaceDN w:val="0"/>
        <w:adjustRightInd w:val="0"/>
        <w:spacing w:line="400" w:lineRule="exact"/>
        <w:ind w:firstLine="480" w:firstLineChars="200"/>
        <w:rPr>
          <w:rFonts w:hint="eastAsia" w:ascii="仿宋" w:hAnsi="仿宋" w:eastAsia="仿宋" w:cs="宋体"/>
        </w:rPr>
      </w:pPr>
      <w:r>
        <w:rPr>
          <w:rFonts w:hint="eastAsia" w:ascii="仿宋" w:hAnsi="仿宋" w:eastAsia="仿宋" w:cs="宋体"/>
        </w:rPr>
        <w:t>1.乙方因自身原因，提出合同解约诉求，提前3个月以上书面提出合同解约诉求的，收取1个月(30天)综合服务费作为补偿；提前2个月书面提出合同解约诉求的，收取2个月(60天)综合服务费作为补偿；提前1个月书面提出合同解约诉求的，收取3个月(90天)综合服务费作为补偿，解约诉求以甲方收到书面函件时间（邮政或快递公司显示的签收时间）为准，并签订终止协议。</w:t>
      </w:r>
    </w:p>
    <w:p w14:paraId="2DEB0B99">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2.在本合同有效期内，如发生下列情形之一的，双方可以提前解除合同：</w:t>
      </w:r>
    </w:p>
    <w:p w14:paraId="30E6137D">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（1）因铁路发展规划和铁路车站改扩建、客运服务和商业布局调整等，需收回经营场所的。</w:t>
      </w:r>
    </w:p>
    <w:p w14:paraId="6553E9C7">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（2）经营场所因社会公益事业或国家建设，被国家或地方政府依法征收、征用的。</w:t>
      </w:r>
    </w:p>
    <w:p w14:paraId="26892B97">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3）因地震、台风、水灾等不可抗力造成经营场所房屋损毁，且无法修复或者经过修复仍不能达到正常使用功能的，或因流行疾病、法律法规调整或国家、政府、铁路主管部门要求进行的车站布局变更，导致经营场所不能正常经营，本合同不能全部履行或部分不能履行时，双方应及时协商，并在提供相应证明文件后，可全部或部分解除合同，双方互不承担责任，各自承担自己的损失，甲方应按乙方实际占用经营场所的天数结算综合服务费，并退还乙方剩余的履约保证金。乙方应自合同解除之日起5个工作日内将经营场所归还甲方。</w:t>
      </w:r>
    </w:p>
    <w:p w14:paraId="53747AEF">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(三)乙方有下列情形之一的，甲方有权提前解除本合同：</w:t>
      </w:r>
    </w:p>
    <w:p w14:paraId="1EBCA4FD">
      <w:pPr>
        <w:autoSpaceDE w:val="0"/>
        <w:autoSpaceDN w:val="0"/>
        <w:adjustRightInd w:val="0"/>
        <w:spacing w:line="400" w:lineRule="exact"/>
        <w:ind w:firstLine="480" w:firstLineChars="200"/>
        <w:rPr>
          <w:rFonts w:ascii="仿宋" w:hAnsi="仿宋" w:eastAsia="仿宋" w:cs="宋体"/>
          <w:color w:val="000000"/>
        </w:rPr>
      </w:pPr>
      <w:r>
        <w:rPr>
          <w:rFonts w:ascii="仿宋" w:hAnsi="仿宋" w:eastAsia="仿宋" w:cs="宋体"/>
          <w:color w:val="000000"/>
        </w:rPr>
        <w:t>1</w:t>
      </w:r>
      <w:r>
        <w:rPr>
          <w:rFonts w:hint="eastAsia" w:ascii="仿宋" w:hAnsi="仿宋" w:eastAsia="仿宋" w:cs="宋体"/>
          <w:color w:val="000000"/>
        </w:rPr>
        <w:t>.乙方出现严重违约情形和其他条款中约定的严重违约情形；</w:t>
      </w:r>
    </w:p>
    <w:p w14:paraId="0C400AEA">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2.乙方因商业形象、产品质量、服务质量差而受到国家政府部门查处，造成严重负面影响，严重损害甲方形象、声誉的；</w:t>
      </w:r>
    </w:p>
    <w:p w14:paraId="487BE6FB">
      <w:pPr>
        <w:autoSpaceDE w:val="0"/>
        <w:autoSpaceDN w:val="0"/>
        <w:adjustRightInd w:val="0"/>
        <w:spacing w:line="400" w:lineRule="exact"/>
        <w:ind w:firstLine="480" w:firstLineChars="200"/>
        <w:rPr>
          <w:rFonts w:ascii="仿宋" w:hAnsi="仿宋" w:eastAsia="仿宋" w:cs="宋体"/>
          <w:color w:val="000000"/>
        </w:rPr>
      </w:pPr>
      <w:r>
        <w:rPr>
          <w:rFonts w:ascii="仿宋" w:hAnsi="仿宋" w:eastAsia="仿宋" w:cs="宋体"/>
          <w:color w:val="000000"/>
        </w:rPr>
        <w:t>3</w:t>
      </w:r>
      <w:r>
        <w:rPr>
          <w:rFonts w:hint="eastAsia" w:ascii="仿宋" w:hAnsi="仿宋" w:eastAsia="仿宋" w:cs="宋体"/>
          <w:color w:val="000000"/>
        </w:rPr>
        <w:t>.乙方利用经营场所从事非法活动，损害公众利益的。</w:t>
      </w:r>
    </w:p>
    <w:p w14:paraId="13050B04">
      <w:pPr>
        <w:autoSpaceDE w:val="0"/>
        <w:autoSpaceDN w:val="0"/>
        <w:adjustRightInd w:val="0"/>
        <w:spacing w:line="400" w:lineRule="exact"/>
        <w:ind w:firstLine="480" w:firstLineChars="200"/>
        <w:rPr>
          <w:rFonts w:hint="eastAsia" w:ascii="仿宋" w:hAnsi="仿宋" w:eastAsia="仿宋" w:cs="宋体"/>
          <w:color w:val="000000"/>
        </w:rPr>
      </w:pPr>
      <w:r>
        <w:rPr>
          <w:rFonts w:ascii="仿宋" w:hAnsi="仿宋" w:eastAsia="仿宋" w:cs="宋体"/>
          <w:color w:val="000000"/>
        </w:rPr>
        <w:t>4</w:t>
      </w:r>
      <w:r>
        <w:rPr>
          <w:rFonts w:hint="eastAsia" w:ascii="仿宋" w:hAnsi="仿宋" w:eastAsia="仿宋" w:cs="宋体"/>
          <w:color w:val="000000"/>
        </w:rPr>
        <w:t>.因上述原因甲方提前解除合同的，乙方的履约保证金作为违约金，甲方不予返还，同时甲方有权根据乙方的违约情况追加违约金的额度。</w:t>
      </w:r>
    </w:p>
    <w:p w14:paraId="3C6B1E04">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(四)甲方有下列情形之一的，乙方有权提前解除本合同：</w:t>
      </w:r>
    </w:p>
    <w:p w14:paraId="2A90519F">
      <w:pPr>
        <w:autoSpaceDE w:val="0"/>
        <w:autoSpaceDN w:val="0"/>
        <w:adjustRightInd w:val="0"/>
        <w:spacing w:line="400" w:lineRule="exact"/>
        <w:ind w:firstLine="480" w:firstLineChars="200"/>
        <w:rPr>
          <w:rFonts w:ascii="仿宋" w:hAnsi="仿宋" w:eastAsia="仿宋" w:cs="宋体"/>
          <w:color w:val="000000"/>
        </w:rPr>
      </w:pPr>
      <w:r>
        <w:rPr>
          <w:rFonts w:ascii="仿宋" w:hAnsi="仿宋" w:eastAsia="仿宋" w:cs="宋体"/>
          <w:color w:val="000000"/>
        </w:rPr>
        <w:t>1</w:t>
      </w:r>
      <w:r>
        <w:rPr>
          <w:rFonts w:hint="eastAsia" w:ascii="仿宋" w:hAnsi="仿宋" w:eastAsia="仿宋" w:cs="宋体"/>
          <w:color w:val="000000"/>
        </w:rPr>
        <w:t>.因甲方原因未按时交付经营场所及附属其设施设备，经乙方催告后，在</w:t>
      </w:r>
      <w:r>
        <w:rPr>
          <w:rFonts w:ascii="仿宋" w:hAnsi="仿宋" w:eastAsia="仿宋" w:cs="宋体"/>
          <w:color w:val="000000"/>
        </w:rPr>
        <w:t>10</w:t>
      </w:r>
      <w:r>
        <w:rPr>
          <w:rFonts w:hint="eastAsia" w:ascii="仿宋" w:hAnsi="仿宋" w:eastAsia="仿宋" w:cs="宋体"/>
          <w:color w:val="000000"/>
        </w:rPr>
        <w:t>日内仍未交付的；</w:t>
      </w:r>
    </w:p>
    <w:p w14:paraId="614DF63A">
      <w:pPr>
        <w:autoSpaceDE w:val="0"/>
        <w:autoSpaceDN w:val="0"/>
        <w:adjustRightInd w:val="0"/>
        <w:spacing w:line="400" w:lineRule="exact"/>
        <w:ind w:firstLine="480" w:firstLineChars="200"/>
        <w:rPr>
          <w:rFonts w:ascii="仿宋" w:hAnsi="仿宋" w:eastAsia="仿宋" w:cs="宋体"/>
          <w:color w:val="000000"/>
        </w:rPr>
      </w:pPr>
      <w:r>
        <w:rPr>
          <w:rFonts w:ascii="仿宋" w:hAnsi="仿宋" w:eastAsia="仿宋" w:cs="宋体"/>
          <w:color w:val="000000"/>
        </w:rPr>
        <w:t>2</w:t>
      </w:r>
      <w:r>
        <w:rPr>
          <w:rFonts w:hint="eastAsia" w:ascii="仿宋" w:hAnsi="仿宋" w:eastAsia="仿宋" w:cs="宋体"/>
          <w:color w:val="000000"/>
        </w:rPr>
        <w:t>.甲方交付的经营场所及其附属设施设备不符合本合同的约定，致使合同目的不能实现的；</w:t>
      </w:r>
    </w:p>
    <w:p w14:paraId="54B1AD98">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3.合同有效期间，甲方房屋及其附属设施设备被有关机关采取强制措施，严重影响乙方正常使用的。</w:t>
      </w:r>
    </w:p>
    <w:p w14:paraId="713F3E1D">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因甲方出现上述情形，乙方单方面解除合同后，甲方除将乙方预付的综合服务费扣除实际占用期应当支付的综合服务费后退还给乙方外，还应向乙方支付违约金，违约金的数额为合同解除当月场综合服务费的一倍。</w:t>
      </w:r>
    </w:p>
    <w:p w14:paraId="3BA0CC52">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(五)其他约定</w:t>
      </w:r>
    </w:p>
    <w:p w14:paraId="0435192C">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1.合作期满，乙方无违约的，甲方</w:t>
      </w:r>
      <w:r>
        <w:rPr>
          <w:rFonts w:ascii="仿宋" w:hAnsi="仿宋" w:eastAsia="仿宋" w:cs="宋体"/>
          <w:color w:val="000000"/>
        </w:rPr>
        <w:t>20</w:t>
      </w:r>
      <w:r>
        <w:rPr>
          <w:rFonts w:hint="eastAsia" w:ascii="仿宋" w:hAnsi="仿宋" w:eastAsia="仿宋" w:cs="宋体"/>
          <w:color w:val="000000"/>
        </w:rPr>
        <w:t>日内将履约保证金无息退还给乙方，本合同另有约定除外。本合同提前终止或解除，履约保证金按照本合同约定或甲乙双方补充协议约定处理。</w:t>
      </w:r>
    </w:p>
    <w:p w14:paraId="12CDE7CB">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2.因乙方原因无法办理经营证照时，经甲方同意，可解除本合同且互不追究违约责任，经营场所装修装饰费用由乙方自行承担；乙方还应按实际占用天数向甲方支付经营场所的综合服务费。</w:t>
      </w:r>
    </w:p>
    <w:p w14:paraId="24488AD9">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3.本合同终止，乙方有义务将证照中的本经营场所地址进行变更或注销；变更或注销后，方可与甲方进行履约保证金的结算。</w:t>
      </w:r>
    </w:p>
    <w:p w14:paraId="07A985B1">
      <w:pPr>
        <w:snapToGrid w:val="0"/>
        <w:spacing w:line="400" w:lineRule="exact"/>
        <w:ind w:firstLine="480" w:firstLineChars="200"/>
        <w:outlineLvl w:val="0"/>
        <w:rPr>
          <w:rFonts w:hint="eastAsia" w:ascii="仿宋" w:hAnsi="仿宋" w:eastAsia="仿宋" w:cs="宋体"/>
          <w:color w:val="000000"/>
        </w:rPr>
      </w:pPr>
    </w:p>
    <w:p w14:paraId="2B00E194">
      <w:pPr>
        <w:spacing w:line="400" w:lineRule="exact"/>
        <w:ind w:firstLine="482" w:firstLineChars="200"/>
        <w:rPr>
          <w:rFonts w:hint="eastAsia" w:ascii="黑体" w:hAnsi="黑体" w:eastAsia="黑体"/>
          <w:b/>
          <w:kern w:val="2"/>
          <w:szCs w:val="28"/>
        </w:rPr>
      </w:pPr>
      <w:r>
        <w:rPr>
          <w:rFonts w:hint="eastAsia" w:ascii="黑体" w:hAnsi="黑体" w:eastAsia="黑体"/>
          <w:b/>
          <w:kern w:val="2"/>
          <w:szCs w:val="28"/>
        </w:rPr>
        <w:t>第八条违约责任</w:t>
      </w:r>
    </w:p>
    <w:p w14:paraId="0363B0E8">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（一）乙方一般违约及责任承担</w:t>
      </w:r>
    </w:p>
    <w:p w14:paraId="1EE2606D">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除本合同及本合同附件</w:t>
      </w:r>
      <w:r>
        <w:rPr>
          <w:rFonts w:ascii="仿宋" w:hAnsi="仿宋" w:eastAsia="仿宋" w:cs="宋体"/>
          <w:color w:val="000000"/>
        </w:rPr>
        <w:t>1</w:t>
      </w:r>
      <w:r>
        <w:rPr>
          <w:rFonts w:hint="eastAsia" w:ascii="仿宋" w:hAnsi="仿宋" w:eastAsia="仿宋" w:cs="宋体"/>
          <w:color w:val="000000"/>
        </w:rPr>
        <w:t>《客站经营场所安全协议》、附件2《商家公约》中属于严重违约情形之外的，其他均属于一般性违约，违约责任按约定承担。若因乙方的违约，乙方在收到甲方扣款通知后需于</w:t>
      </w:r>
      <w:r>
        <w:rPr>
          <w:rFonts w:ascii="仿宋" w:hAnsi="仿宋" w:eastAsia="仿宋" w:cs="宋体"/>
          <w:color w:val="000000"/>
        </w:rPr>
        <w:t>5</w:t>
      </w:r>
      <w:r>
        <w:rPr>
          <w:rFonts w:hint="eastAsia" w:ascii="仿宋" w:hAnsi="仿宋" w:eastAsia="仿宋" w:cs="宋体"/>
          <w:color w:val="000000"/>
        </w:rPr>
        <w:t>个工作日内将履约保证金补齐。如给甲方造成损失，乙方还应承担相应的损害赔偿责任。</w:t>
      </w:r>
    </w:p>
    <w:p w14:paraId="606ADA36">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（二）乙方严重违约责任</w:t>
      </w:r>
    </w:p>
    <w:p w14:paraId="52DEFC11">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1.严重违约的情形。除本合同及本合同附件</w:t>
      </w:r>
      <w:r>
        <w:rPr>
          <w:rFonts w:ascii="仿宋" w:hAnsi="仿宋" w:eastAsia="仿宋" w:cs="宋体"/>
          <w:color w:val="000000"/>
        </w:rPr>
        <w:t>1</w:t>
      </w:r>
      <w:r>
        <w:rPr>
          <w:rFonts w:hint="eastAsia" w:ascii="仿宋" w:hAnsi="仿宋" w:eastAsia="仿宋" w:cs="宋体"/>
          <w:color w:val="000000"/>
        </w:rPr>
        <w:t>《客站经营场所安全协议》、附件2《商家公约》中已明确乙方严重违约情形之外，乙方还发生下列情形之一的，亦属于乙方严重违约：</w:t>
      </w:r>
    </w:p>
    <w:p w14:paraId="5C88E99C">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2.乙方的一般性违约行为</w:t>
      </w:r>
      <w:r>
        <w:rPr>
          <w:rFonts w:ascii="仿宋" w:hAnsi="仿宋" w:eastAsia="仿宋" w:cs="宋体"/>
          <w:color w:val="000000"/>
        </w:rPr>
        <w:t>,</w:t>
      </w:r>
      <w:r>
        <w:rPr>
          <w:rFonts w:hint="eastAsia" w:ascii="仿宋" w:hAnsi="仿宋" w:eastAsia="仿宋" w:cs="宋体"/>
          <w:color w:val="000000"/>
        </w:rPr>
        <w:t>在甲方发出整改通知书后，无正当理由未按规定时间和要求予以整改，或未在规定期限内补足履约保证金的；</w:t>
      </w:r>
    </w:p>
    <w:p w14:paraId="0E843721">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3.由于乙方原因未按本合同约定开业时间，或甲方书面通知开业时间</w:t>
      </w:r>
      <w:r>
        <w:rPr>
          <w:rFonts w:ascii="仿宋" w:hAnsi="仿宋" w:eastAsia="仿宋" w:cs="宋体"/>
          <w:color w:val="000000"/>
        </w:rPr>
        <w:t>,</w:t>
      </w:r>
      <w:r>
        <w:rPr>
          <w:rFonts w:hint="eastAsia" w:ascii="仿宋" w:hAnsi="仿宋" w:eastAsia="仿宋" w:cs="宋体"/>
          <w:color w:val="000000"/>
        </w:rPr>
        <w:t>要求按期开业，但乙方延迟</w:t>
      </w:r>
      <w:r>
        <w:rPr>
          <w:rFonts w:ascii="仿宋" w:hAnsi="仿宋" w:eastAsia="仿宋" w:cs="宋体"/>
          <w:color w:val="000000"/>
        </w:rPr>
        <w:t>10</w:t>
      </w:r>
      <w:r>
        <w:rPr>
          <w:rFonts w:hint="eastAsia" w:ascii="仿宋" w:hAnsi="仿宋" w:eastAsia="仿宋" w:cs="宋体"/>
          <w:color w:val="000000"/>
        </w:rPr>
        <w:t>日以上的；</w:t>
      </w:r>
    </w:p>
    <w:p w14:paraId="4E8B5817">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4.乙方未按本合同项下条款进行装修，擅自装修，或因装修造成安全事故的；</w:t>
      </w:r>
    </w:p>
    <w:p w14:paraId="22781C14">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5.乙方未经甲方书面同意，擅自将经营场所转让、部分转让、转借、转包他人，或设置抵押、质押或其他负担的，或与他人合资、合作、联营、交换使用、委托经营、托管经营或改变经营场所用途的；</w:t>
      </w:r>
    </w:p>
    <w:p w14:paraId="5BB5BB82">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6.在经营场所内出售过期、变质以及假冒伪劣、以次充好的商品的；</w:t>
      </w:r>
    </w:p>
    <w:p w14:paraId="6A536E59">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7.发生顾客投诉并造成投诉升级或有不良影响并经查证属实的；</w:t>
      </w:r>
    </w:p>
    <w:p w14:paraId="5207CCDE">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8.乙方擅自改变经营场所房屋基本结构，造成房屋基本结构损坏且不能恢复原状的；</w:t>
      </w:r>
    </w:p>
    <w:p w14:paraId="66A4DA0F">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9.乙方拖欠综合服务费</w:t>
      </w:r>
      <w:r>
        <w:rPr>
          <w:rFonts w:ascii="仿宋" w:hAnsi="仿宋" w:eastAsia="仿宋" w:cs="宋体"/>
          <w:color w:val="000000"/>
        </w:rPr>
        <w:t>30</w:t>
      </w:r>
      <w:r>
        <w:rPr>
          <w:rFonts w:hint="eastAsia" w:ascii="仿宋" w:hAnsi="仿宋" w:eastAsia="仿宋" w:cs="宋体"/>
          <w:color w:val="000000"/>
        </w:rPr>
        <w:t>日以上的，且经甲方催告后15日内未仍补齐，甲方有权解除合同，并追究乙方的违约责任。</w:t>
      </w:r>
    </w:p>
    <w:p w14:paraId="59D1CC5A">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10.乙方以甲方名义从事任何活动；从事任何有损甲方名誉和利益的活动；在车站区域内从事非法活动；妨碍甲方和第三方的正常生产经营，在经营场所外进行揽客、产品（含卡券）销售等行为。</w:t>
      </w:r>
    </w:p>
    <w:p w14:paraId="4980350E">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（三）严重违约的处理</w:t>
      </w:r>
    </w:p>
    <w:p w14:paraId="4FD113CD">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1.除本合同另有约定外，如乙方有严重违约行为，且乙方在收到甲方严重违约通知单</w:t>
      </w:r>
      <w:r>
        <w:rPr>
          <w:rFonts w:ascii="仿宋" w:hAnsi="仿宋" w:eastAsia="仿宋" w:cs="宋体"/>
          <w:color w:val="000000"/>
        </w:rPr>
        <w:t>10</w:t>
      </w:r>
      <w:r>
        <w:rPr>
          <w:rFonts w:hint="eastAsia" w:ascii="仿宋" w:hAnsi="仿宋" w:eastAsia="仿宋" w:cs="宋体"/>
          <w:color w:val="000000"/>
        </w:rPr>
        <w:t>日内未予纠正的，乙方应停业整改。</w:t>
      </w:r>
    </w:p>
    <w:p w14:paraId="6CA37B67">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2.对于严重违约行为，乙方在甲方发出严重违约通知单</w:t>
      </w:r>
      <w:r>
        <w:rPr>
          <w:rFonts w:ascii="仿宋" w:hAnsi="仿宋" w:eastAsia="仿宋" w:cs="宋体"/>
          <w:color w:val="000000"/>
        </w:rPr>
        <w:t>20</w:t>
      </w:r>
      <w:r>
        <w:rPr>
          <w:rFonts w:hint="eastAsia" w:ascii="仿宋" w:hAnsi="仿宋" w:eastAsia="仿宋" w:cs="宋体"/>
          <w:color w:val="000000"/>
        </w:rPr>
        <w:t>日内仍未纠正，甲方有权解除本合同，收回经营场所，按乙方实际占用经营场所的天数结算综合服务费，并由乙方按履约保证金的金额向甲方支付违约金；如给甲方造成实际损失的，乙方应承担相应的损害赔偿责任。乙方应在接到甲方书面通知后的</w:t>
      </w:r>
      <w:r>
        <w:rPr>
          <w:rFonts w:ascii="仿宋" w:hAnsi="仿宋" w:eastAsia="仿宋" w:cs="宋体"/>
          <w:color w:val="000000"/>
        </w:rPr>
        <w:t>5</w:t>
      </w:r>
      <w:r>
        <w:rPr>
          <w:rFonts w:hint="eastAsia" w:ascii="仿宋" w:hAnsi="仿宋" w:eastAsia="仿宋" w:cs="宋体"/>
          <w:color w:val="000000"/>
        </w:rPr>
        <w:t>个工作日内支付本条款项下的相应款项。因乙方原因或乙方硬件设置不合理所导致的食品卫生事故、人身伤亡事故、消防火灾等各种安全事故，由乙方负责处理并承担相应的民事赔偿责任。</w:t>
      </w:r>
    </w:p>
    <w:p w14:paraId="484D7733">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乙方拖欠综合服务费30天以上的，从第31天起甲方采取停水、停电、停业等措施，并从履约保证金中扣除乙方所拖欠天数综合服务费，直至乙方支付完本期拖欠全部，扣除部分的履约保证金，乙方经催告后15日内仍未支付，甲方有权解除本合同,并将乙方列入黑名单,列入黑名单的乙方在2年内不得参与上海局集团公司范围内的同类招商活动。</w:t>
      </w:r>
    </w:p>
    <w:p w14:paraId="000D4463">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4.本合同履行过程中，若发生乙方违约情形，乙方未能自动承担违约责任，甲方在追究乙方违约责任过程中产生的律师费、差旅费、公证费、审计费等费用由乙方承担。</w:t>
      </w:r>
    </w:p>
    <w:p w14:paraId="2B4A4C57">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5.合同经营期限届满自然终止。合同到期后5个工作日内，甲乙双方按照合同约定结清各项费用，乙方应完好无损地将经营场所归还甲方。</w:t>
      </w:r>
    </w:p>
    <w:p w14:paraId="22CA7B23">
      <w:pPr>
        <w:spacing w:line="400" w:lineRule="exact"/>
        <w:ind w:firstLine="480" w:firstLineChars="200"/>
        <w:rPr>
          <w:rFonts w:hint="eastAsia"/>
        </w:rPr>
      </w:pPr>
    </w:p>
    <w:p w14:paraId="04FDEF3F">
      <w:pPr>
        <w:spacing w:line="400" w:lineRule="exact"/>
        <w:ind w:firstLine="482" w:firstLineChars="200"/>
        <w:rPr>
          <w:rFonts w:hint="eastAsia" w:ascii="黑体" w:hAnsi="黑体" w:eastAsia="黑体"/>
          <w:b/>
          <w:kern w:val="2"/>
          <w:szCs w:val="28"/>
        </w:rPr>
      </w:pPr>
      <w:r>
        <w:rPr>
          <w:rFonts w:hint="eastAsia" w:ascii="黑体" w:hAnsi="黑体" w:eastAsia="黑体"/>
          <w:b/>
          <w:kern w:val="2"/>
          <w:szCs w:val="28"/>
        </w:rPr>
        <w:t>第九条</w:t>
      </w:r>
      <w:r>
        <w:rPr>
          <w:rFonts w:ascii="黑体" w:hAnsi="黑体" w:eastAsia="黑体"/>
          <w:b/>
          <w:kern w:val="2"/>
          <w:szCs w:val="28"/>
        </w:rPr>
        <w:t>保密条款</w:t>
      </w:r>
    </w:p>
    <w:p w14:paraId="3354EF47">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一）甲乙双方同意，任何一方为履行本合同而提供给对方的任何商业信息或技术信息，以及一方在履约过程所知悉的对方的商业秘密、缔约条件、谈判内容等，包括本合同的内容，除非提供方书面明确说明为公知信息的以外，均可能构成其“保密信息”。信息获取一方保证应采取合理的保密措施保护该等保密信息免受公开，不向任何第三方公开该等保密信息，并且除为履行本合同目的外非经对方事先书面同意不得使用任何保密信息。前述保密措施应合理并不得低于知悉一方对自己的保密信息所采取的保护效果。因一方泄露或者不正当使用该等保密信息而给对方造成损失的，应当赔偿对方的所有损失。</w:t>
      </w:r>
    </w:p>
    <w:p w14:paraId="5B6EF124">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二）未经对方同意，任何一方不得对对方的保密信息进行复制或以其他方式保存。并且在对方要求或在双方的业务关系终止时，应立即向对方归还所有保密信息及其副本、以及所有包含该保密信息或其部分的所有文件、资料和其他物品。</w:t>
      </w:r>
    </w:p>
    <w:p w14:paraId="5E28C36D">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（三）任何一方对于保密信息的义务应延续至该等信息因合法的原因而成为公开信息。</w:t>
      </w:r>
    </w:p>
    <w:p w14:paraId="070D0926">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（四）上述保密规定不应当适用于以下信息：</w:t>
      </w:r>
    </w:p>
    <w:p w14:paraId="284BE174">
      <w:pPr>
        <w:autoSpaceDE w:val="0"/>
        <w:autoSpaceDN w:val="0"/>
        <w:adjustRightInd w:val="0"/>
        <w:spacing w:line="400" w:lineRule="exact"/>
        <w:ind w:firstLine="480" w:firstLineChars="200"/>
        <w:rPr>
          <w:rFonts w:ascii="仿宋" w:hAnsi="仿宋" w:eastAsia="仿宋" w:cs="宋体"/>
          <w:color w:val="000000"/>
        </w:rPr>
      </w:pPr>
      <w:r>
        <w:rPr>
          <w:rFonts w:ascii="仿宋" w:hAnsi="仿宋" w:eastAsia="仿宋" w:cs="宋体"/>
          <w:color w:val="000000"/>
        </w:rPr>
        <w:t>1</w:t>
      </w:r>
      <w:r>
        <w:rPr>
          <w:rFonts w:hint="eastAsia" w:ascii="仿宋" w:hAnsi="仿宋" w:eastAsia="仿宋" w:cs="宋体"/>
          <w:color w:val="000000"/>
        </w:rPr>
        <w:t>.</w:t>
      </w:r>
      <w:r>
        <w:rPr>
          <w:rFonts w:ascii="仿宋" w:hAnsi="仿宋" w:eastAsia="仿宋" w:cs="宋体"/>
          <w:color w:val="000000"/>
        </w:rPr>
        <w:t>收到信息的一方有书面记录可以证明其在披露方向其披露该等信息之前已经知晓该信息；</w:t>
      </w:r>
    </w:p>
    <w:p w14:paraId="05B6F608">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w:t>
      </w:r>
      <w:r>
        <w:rPr>
          <w:rFonts w:ascii="仿宋" w:hAnsi="仿宋" w:eastAsia="仿宋" w:cs="宋体"/>
          <w:color w:val="000000"/>
        </w:rPr>
        <w:t>收到信息的一方从其他渠道获得的公开信息；</w:t>
      </w:r>
    </w:p>
    <w:p w14:paraId="52457266">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w:t>
      </w:r>
      <w:r>
        <w:rPr>
          <w:rFonts w:ascii="仿宋" w:hAnsi="仿宋" w:eastAsia="仿宋" w:cs="宋体"/>
          <w:color w:val="000000"/>
        </w:rPr>
        <w:t>收到信息的一方从对该等信息不负有保密义务的第三方获得的信息。</w:t>
      </w:r>
    </w:p>
    <w:p w14:paraId="3C054731">
      <w:pPr>
        <w:autoSpaceDE w:val="0"/>
        <w:autoSpaceDN w:val="0"/>
        <w:adjustRightInd w:val="0"/>
        <w:spacing w:line="400" w:lineRule="exact"/>
        <w:ind w:firstLine="480" w:firstLineChars="200"/>
        <w:rPr>
          <w:rFonts w:hint="eastAsia" w:ascii="仿宋" w:hAnsi="仿宋" w:eastAsia="仿宋" w:cs="宋体"/>
          <w:color w:val="000000"/>
        </w:rPr>
      </w:pPr>
    </w:p>
    <w:p w14:paraId="4B1742AB">
      <w:pPr>
        <w:spacing w:line="400" w:lineRule="exact"/>
        <w:ind w:firstLine="482" w:firstLineChars="200"/>
        <w:rPr>
          <w:rFonts w:hint="eastAsia" w:ascii="黑体" w:hAnsi="黑体" w:eastAsia="黑体"/>
          <w:b/>
          <w:kern w:val="2"/>
          <w:szCs w:val="28"/>
        </w:rPr>
      </w:pPr>
      <w:r>
        <w:rPr>
          <w:rFonts w:hint="eastAsia" w:ascii="黑体" w:hAnsi="黑体" w:eastAsia="黑体"/>
          <w:b/>
          <w:kern w:val="2"/>
          <w:szCs w:val="28"/>
        </w:rPr>
        <w:t>第十条</w:t>
      </w:r>
      <w:r>
        <w:rPr>
          <w:rFonts w:ascii="黑体" w:hAnsi="黑体" w:eastAsia="黑体"/>
          <w:b/>
          <w:kern w:val="2"/>
          <w:szCs w:val="28"/>
        </w:rPr>
        <w:t>通知</w:t>
      </w:r>
    </w:p>
    <w:p w14:paraId="589348F1">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(一)通知方式</w:t>
      </w:r>
    </w:p>
    <w:p w14:paraId="734D5763">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除非本合同另有约定，甲乙双方按照本合同条款发往对方的任何通知、请求、法律文书（包括但不限于诉讼、仲裁、执行等）或其他文件，应当以书面形式按本合同第十条第(三)款（通讯地址）约定的联系地址并注明联系人后发送。双方指定的联系地址、传真、电话以及联系人在本合同第十条第(三)款（通讯地址）中列明，双方确认该等联系方式作为法律文书的送达地址，同意用于送达与本合同纠纷相关的法律文书、诉讼文件，包括但不限于在争议进入民事诉讼程序后的一审、二审、再审和执行程序相关的各类文件和文书。</w:t>
      </w:r>
    </w:p>
    <w:p w14:paraId="042335C6">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(二)通知送达</w:t>
      </w:r>
    </w:p>
    <w:p w14:paraId="51689D08">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甲乙双方按照本合同条款进行的任何通讯应当在满足下列条件后视为该方已收到：</w:t>
      </w:r>
    </w:p>
    <w:p w14:paraId="5C8883FF">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1.如通过人员递送，在实际交付联系人时视为收到。</w:t>
      </w:r>
    </w:p>
    <w:p w14:paraId="439F35D4">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2.如以传真传送，在向指定通讯地址传送完成时视为收到。</w:t>
      </w:r>
    </w:p>
    <w:p w14:paraId="1A36D36D">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3.如以信函方式邮寄，在按约定地址以挂号信或EMS寄出后第3个工作日视为收到。一方拒收、退件等不影响送达效力。</w:t>
      </w:r>
    </w:p>
    <w:p w14:paraId="2E5FB796">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(三)通讯地址：</w:t>
      </w:r>
    </w:p>
    <w:p w14:paraId="1AB8317B">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为通知之目的，完成本合同相关文件送达，各方确定通讯地址如下：</w:t>
      </w:r>
    </w:p>
    <w:p w14:paraId="1DD9F811">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甲方：</w:t>
      </w:r>
    </w:p>
    <w:p w14:paraId="3AEA94A5">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通讯地址：</w:t>
      </w:r>
    </w:p>
    <w:p w14:paraId="2512BA73">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邮政编码：传真电话：</w:t>
      </w:r>
    </w:p>
    <w:p w14:paraId="7D1C9018">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联系人：手机号码：</w:t>
      </w:r>
    </w:p>
    <w:p w14:paraId="229B352C">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乙方：</w:t>
      </w:r>
    </w:p>
    <w:p w14:paraId="0EEA1BBB">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通讯地址：</w:t>
      </w:r>
    </w:p>
    <w:p w14:paraId="6BD4DFF1">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邮政编码：传真电话：</w:t>
      </w:r>
    </w:p>
    <w:p w14:paraId="313B543F">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联系人：手机号码：</w:t>
      </w:r>
    </w:p>
    <w:p w14:paraId="5155C22E">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 xml:space="preserve"> (四)地址变更</w:t>
      </w:r>
    </w:p>
    <w:p w14:paraId="3E4678DA">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本合同任何一方在变更上述联系地址、电话号、联系人或邮箱前，应提前10个工作日以书面形式通知对方，未提前书面通知的视为同意向原地址送达。</w:t>
      </w:r>
    </w:p>
    <w:p w14:paraId="6504FF86">
      <w:pPr>
        <w:pStyle w:val="63"/>
        <w:spacing w:line="400" w:lineRule="exact"/>
        <w:ind w:firstLine="420"/>
        <w:rPr>
          <w:rFonts w:hint="eastAsia"/>
        </w:rPr>
      </w:pPr>
    </w:p>
    <w:p w14:paraId="633A71FA">
      <w:pPr>
        <w:spacing w:line="400" w:lineRule="exact"/>
        <w:ind w:firstLine="482" w:firstLineChars="200"/>
        <w:rPr>
          <w:rFonts w:hint="eastAsia" w:ascii="黑体" w:hAnsi="黑体" w:eastAsia="黑体"/>
          <w:b/>
          <w:kern w:val="2"/>
          <w:szCs w:val="28"/>
        </w:rPr>
      </w:pPr>
      <w:r>
        <w:rPr>
          <w:rFonts w:hint="eastAsia" w:ascii="黑体" w:hAnsi="黑体" w:eastAsia="黑体"/>
          <w:b/>
          <w:kern w:val="2"/>
          <w:szCs w:val="28"/>
        </w:rPr>
        <w:t>第十一条争议解决</w:t>
      </w:r>
    </w:p>
    <w:p w14:paraId="550B41C9">
      <w:pPr>
        <w:autoSpaceDE w:val="0"/>
        <w:autoSpaceDN w:val="0"/>
        <w:adjustRightInd w:val="0"/>
        <w:spacing w:line="400" w:lineRule="exact"/>
        <w:ind w:firstLine="480" w:firstLineChars="200"/>
        <w:rPr>
          <w:rFonts w:hint="eastAsia" w:ascii="仿宋" w:hAnsi="仿宋" w:eastAsia="仿宋" w:cs="宋体"/>
        </w:rPr>
      </w:pPr>
      <w:r>
        <w:rPr>
          <w:rFonts w:hint="eastAsia" w:ascii="仿宋" w:hAnsi="仿宋" w:eastAsia="仿宋" w:cs="宋体"/>
        </w:rPr>
        <w:t>本合同在履行过程中如发生争议，应由双方友好协商解决；如协商不成，任何一方均有权向上海市静安区人民法院提起诉讼。</w:t>
      </w:r>
    </w:p>
    <w:p w14:paraId="0BEC2937">
      <w:pPr>
        <w:spacing w:line="400" w:lineRule="exact"/>
        <w:ind w:firstLine="482" w:firstLineChars="200"/>
        <w:rPr>
          <w:rFonts w:hint="eastAsia" w:ascii="黑体" w:hAnsi="黑体" w:eastAsia="黑体"/>
          <w:b/>
          <w:color w:val="FF0000"/>
          <w:kern w:val="2"/>
          <w:szCs w:val="28"/>
        </w:rPr>
      </w:pPr>
    </w:p>
    <w:p w14:paraId="1B43AD42">
      <w:pPr>
        <w:snapToGrid w:val="0"/>
        <w:spacing w:line="400" w:lineRule="exact"/>
        <w:ind w:firstLine="482" w:firstLineChars="200"/>
        <w:outlineLvl w:val="0"/>
        <w:rPr>
          <w:rFonts w:hint="eastAsia" w:ascii="黑体" w:hAnsi="黑体" w:eastAsia="黑体"/>
          <w:b/>
          <w:kern w:val="2"/>
          <w:szCs w:val="28"/>
        </w:rPr>
      </w:pPr>
      <w:r>
        <w:rPr>
          <w:rFonts w:hint="eastAsia" w:ascii="黑体" w:hAnsi="黑体" w:eastAsia="黑体"/>
          <w:b/>
          <w:kern w:val="2"/>
          <w:szCs w:val="28"/>
        </w:rPr>
        <w:t>第十二条</w:t>
      </w:r>
      <w:r>
        <w:rPr>
          <w:rFonts w:ascii="黑体" w:hAnsi="黑体" w:eastAsia="黑体"/>
          <w:b/>
          <w:kern w:val="2"/>
          <w:szCs w:val="28"/>
        </w:rPr>
        <w:t>合同生效条件及文本数量</w:t>
      </w:r>
    </w:p>
    <w:p w14:paraId="78BF68F5">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（一） 本合同未尽事宜由双方另订补充协议，补充协议与本合同具有同等效力。</w:t>
      </w:r>
    </w:p>
    <w:p w14:paraId="4712C106">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（二）本合同一式四份，甲方执二份，乙方执二份，具有同等效力。</w:t>
      </w:r>
    </w:p>
    <w:p w14:paraId="75176517">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（三）本合同由双方法定代表人或授权委托人签字并加盖公章或合同章后成立。</w:t>
      </w:r>
    </w:p>
    <w:p w14:paraId="0D98D600">
      <w:pPr>
        <w:autoSpaceDE w:val="0"/>
        <w:autoSpaceDN w:val="0"/>
        <w:adjustRightInd w:val="0"/>
        <w:spacing w:line="400" w:lineRule="exact"/>
        <w:ind w:firstLine="480" w:firstLineChars="200"/>
        <w:rPr>
          <w:rFonts w:ascii="仿宋" w:hAnsi="仿宋" w:eastAsia="仿宋" w:cs="宋体"/>
          <w:color w:val="000000"/>
        </w:rPr>
      </w:pPr>
    </w:p>
    <w:p w14:paraId="645ECAFD">
      <w:pPr>
        <w:spacing w:line="400" w:lineRule="exact"/>
        <w:ind w:firstLine="482" w:firstLineChars="200"/>
        <w:rPr>
          <w:rFonts w:hint="eastAsia" w:ascii="黑体" w:hAnsi="黑体" w:eastAsia="黑体"/>
          <w:b/>
          <w:kern w:val="2"/>
          <w:szCs w:val="28"/>
        </w:rPr>
      </w:pPr>
      <w:r>
        <w:rPr>
          <w:rFonts w:hint="eastAsia" w:ascii="黑体" w:hAnsi="黑体" w:eastAsia="黑体"/>
          <w:b/>
          <w:kern w:val="2"/>
          <w:szCs w:val="28"/>
        </w:rPr>
        <w:t>第十三条</w:t>
      </w:r>
      <w:r>
        <w:rPr>
          <w:rFonts w:ascii="黑体" w:hAnsi="黑体" w:eastAsia="黑体"/>
          <w:b/>
          <w:kern w:val="2"/>
          <w:szCs w:val="28"/>
        </w:rPr>
        <w:t>其他事项</w:t>
      </w:r>
    </w:p>
    <w:p w14:paraId="37D5FA2C">
      <w:pPr>
        <w:autoSpaceDE w:val="0"/>
        <w:autoSpaceDN w:val="0"/>
        <w:adjustRightInd w:val="0"/>
        <w:spacing w:line="400" w:lineRule="exact"/>
        <w:ind w:firstLine="480" w:firstLineChars="200"/>
        <w:rPr>
          <w:rFonts w:hint="eastAsia" w:ascii="仿宋" w:hAnsi="仿宋" w:eastAsia="仿宋" w:cs="宋体"/>
          <w:color w:val="000000"/>
        </w:rPr>
      </w:pPr>
      <w:r>
        <w:rPr>
          <w:rFonts w:hint="eastAsia" w:ascii="仿宋" w:hAnsi="仿宋" w:eastAsia="仿宋" w:cs="宋体"/>
          <w:color w:val="000000"/>
        </w:rPr>
        <w:t>本合同成立生效后，若因甲方或铁路主管部门的要求，本经营场所需参与到铁路电子商务工作中，则乙方需无条件的接受，具体条款双方可本着公平、双赢的原则另行协商并签订补充协议。若协商不成，双方终止本服务合同，互不追究违约责任，且甲方不承担乙方的装修装饰损失。</w:t>
      </w:r>
    </w:p>
    <w:p w14:paraId="40A7CBDD">
      <w:pPr>
        <w:autoSpaceDE w:val="0"/>
        <w:autoSpaceDN w:val="0"/>
        <w:adjustRightInd w:val="0"/>
        <w:spacing w:line="400" w:lineRule="exact"/>
        <w:ind w:firstLine="480" w:firstLineChars="200"/>
        <w:rPr>
          <w:rFonts w:hint="eastAsia" w:ascii="仿宋" w:hAnsi="仿宋" w:eastAsia="仿宋" w:cs="宋体"/>
          <w:color w:val="000000"/>
        </w:rPr>
      </w:pPr>
    </w:p>
    <w:p w14:paraId="548E7C29">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附件1：客站经营场所安全协议</w:t>
      </w:r>
    </w:p>
    <w:p w14:paraId="062F5ED2">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1-1客站商业消防安全负面积分扣分标准及考核办法</w:t>
      </w:r>
    </w:p>
    <w:p w14:paraId="26931880">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1-2网络安全协议</w:t>
      </w:r>
    </w:p>
    <w:p w14:paraId="0D353001">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附件2：商家公约</w:t>
      </w:r>
    </w:p>
    <w:p w14:paraId="29BF6DB1">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附件</w:t>
      </w:r>
      <w:r>
        <w:rPr>
          <w:rFonts w:ascii="仿宋" w:hAnsi="仿宋" w:eastAsia="仿宋" w:cs="宋体"/>
          <w:color w:val="000000"/>
        </w:rPr>
        <w:t>3</w:t>
      </w:r>
      <w:r>
        <w:rPr>
          <w:rFonts w:hint="eastAsia" w:ascii="仿宋" w:hAnsi="仿宋" w:eastAsia="仿宋" w:cs="宋体"/>
          <w:color w:val="000000"/>
        </w:rPr>
        <w:t>：廉政协议</w:t>
      </w:r>
    </w:p>
    <w:p w14:paraId="12E0BBF1">
      <w:pPr>
        <w:autoSpaceDE w:val="0"/>
        <w:autoSpaceDN w:val="0"/>
        <w:adjustRightInd w:val="0"/>
        <w:spacing w:line="400" w:lineRule="exact"/>
        <w:ind w:firstLine="480" w:firstLineChars="200"/>
        <w:rPr>
          <w:rFonts w:ascii="仿宋" w:hAnsi="仿宋" w:eastAsia="仿宋" w:cs="宋体"/>
          <w:color w:val="000000"/>
        </w:rPr>
      </w:pPr>
      <w:r>
        <w:rPr>
          <w:rFonts w:hint="eastAsia" w:ascii="仿宋" w:hAnsi="仿宋" w:eastAsia="仿宋" w:cs="宋体"/>
          <w:color w:val="000000"/>
        </w:rPr>
        <w:t>附件4：经营场所交接确认书</w:t>
      </w:r>
    </w:p>
    <w:p w14:paraId="6B07F1A8">
      <w:pPr>
        <w:snapToGrid w:val="0"/>
        <w:spacing w:line="400" w:lineRule="exact"/>
        <w:ind w:firstLine="480" w:firstLineChars="200"/>
        <w:rPr>
          <w:rFonts w:hint="eastAsia" w:ascii="仿宋" w:hAnsi="仿宋" w:eastAsia="仿宋" w:cs="宋体"/>
          <w:color w:val="000000"/>
        </w:rPr>
      </w:pPr>
    </w:p>
    <w:p w14:paraId="55A70336">
      <w:pPr>
        <w:snapToGrid w:val="0"/>
        <w:spacing w:line="400" w:lineRule="exact"/>
        <w:ind w:firstLine="480" w:firstLineChars="200"/>
        <w:rPr>
          <w:rFonts w:hint="eastAsia" w:ascii="仿宋" w:hAnsi="仿宋" w:eastAsia="仿宋" w:cs="宋体"/>
          <w:color w:val="000000"/>
        </w:rPr>
      </w:pPr>
    </w:p>
    <w:p w14:paraId="095A404C">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甲方</w:t>
      </w:r>
      <w:r>
        <w:rPr>
          <w:rFonts w:ascii="仿宋" w:hAnsi="仿宋" w:eastAsia="仿宋" w:cs="宋体"/>
          <w:color w:val="000000"/>
        </w:rPr>
        <w:t>(</w:t>
      </w:r>
      <w:r>
        <w:rPr>
          <w:rFonts w:hint="eastAsia" w:ascii="仿宋" w:hAnsi="仿宋" w:eastAsia="仿宋" w:cs="宋体"/>
          <w:color w:val="000000"/>
        </w:rPr>
        <w:t>盖章</w:t>
      </w:r>
      <w:r>
        <w:rPr>
          <w:rFonts w:ascii="仿宋" w:hAnsi="仿宋" w:eastAsia="仿宋" w:cs="宋体"/>
          <w:color w:val="000000"/>
        </w:rPr>
        <w:t xml:space="preserve">): </w:t>
      </w:r>
    </w:p>
    <w:p w14:paraId="70627F7B">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法定代表人或委托人</w:t>
      </w:r>
      <w:r>
        <w:rPr>
          <w:rFonts w:ascii="仿宋" w:hAnsi="仿宋" w:eastAsia="仿宋" w:cs="宋体"/>
          <w:color w:val="000000"/>
        </w:rPr>
        <w:t xml:space="preserve">:                         </w:t>
      </w:r>
    </w:p>
    <w:p w14:paraId="70090F48">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日期</w:t>
      </w:r>
      <w:r>
        <w:rPr>
          <w:rFonts w:ascii="仿宋" w:hAnsi="仿宋" w:eastAsia="仿宋" w:cs="宋体"/>
          <w:color w:val="000000"/>
        </w:rPr>
        <w:t xml:space="preserve">: </w:t>
      </w:r>
    </w:p>
    <w:p w14:paraId="0A10DCE2">
      <w:pPr>
        <w:snapToGrid w:val="0"/>
        <w:spacing w:line="400" w:lineRule="exact"/>
        <w:ind w:firstLine="480" w:firstLineChars="200"/>
        <w:rPr>
          <w:rFonts w:hint="eastAsia" w:ascii="仿宋" w:hAnsi="仿宋" w:eastAsia="仿宋" w:cs="宋体"/>
          <w:color w:val="000000"/>
        </w:rPr>
      </w:pPr>
    </w:p>
    <w:p w14:paraId="4B6B62DB">
      <w:pPr>
        <w:snapToGrid w:val="0"/>
        <w:spacing w:line="400" w:lineRule="exact"/>
        <w:ind w:firstLine="480" w:firstLineChars="200"/>
        <w:rPr>
          <w:rFonts w:hint="eastAsia" w:ascii="仿宋" w:hAnsi="仿宋" w:eastAsia="仿宋" w:cs="宋体"/>
          <w:color w:val="000000"/>
        </w:rPr>
      </w:pPr>
    </w:p>
    <w:p w14:paraId="128CF4D1">
      <w:pPr>
        <w:snapToGrid w:val="0"/>
        <w:spacing w:line="400" w:lineRule="exact"/>
        <w:ind w:firstLine="480" w:firstLineChars="200"/>
        <w:rPr>
          <w:rFonts w:hint="eastAsia" w:ascii="仿宋" w:hAnsi="仿宋" w:eastAsia="仿宋" w:cs="宋体"/>
          <w:color w:val="000000"/>
        </w:rPr>
      </w:pPr>
    </w:p>
    <w:p w14:paraId="770B1C84">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乙方</w:t>
      </w:r>
      <w:r>
        <w:rPr>
          <w:rFonts w:ascii="仿宋" w:hAnsi="仿宋" w:eastAsia="仿宋" w:cs="宋体"/>
          <w:color w:val="000000"/>
        </w:rPr>
        <w:t>(</w:t>
      </w:r>
      <w:r>
        <w:rPr>
          <w:rFonts w:hint="eastAsia" w:ascii="仿宋" w:hAnsi="仿宋" w:eastAsia="仿宋" w:cs="宋体"/>
          <w:color w:val="000000"/>
        </w:rPr>
        <w:t>盖章</w:t>
      </w:r>
      <w:r>
        <w:rPr>
          <w:rFonts w:ascii="仿宋" w:hAnsi="仿宋" w:eastAsia="仿宋" w:cs="宋体"/>
          <w:color w:val="000000"/>
        </w:rPr>
        <w:t>):</w:t>
      </w:r>
    </w:p>
    <w:p w14:paraId="6E3C82AF">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法定代表人或委托人</w:t>
      </w:r>
      <w:r>
        <w:rPr>
          <w:rFonts w:ascii="仿宋" w:hAnsi="仿宋" w:eastAsia="仿宋" w:cs="宋体"/>
          <w:color w:val="000000"/>
        </w:rPr>
        <w:t>:</w:t>
      </w:r>
    </w:p>
    <w:p w14:paraId="25BB781C">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日期</w:t>
      </w:r>
      <w:r>
        <w:rPr>
          <w:rFonts w:ascii="仿宋" w:hAnsi="仿宋" w:eastAsia="仿宋" w:cs="宋体"/>
          <w:color w:val="000000"/>
        </w:rPr>
        <w:t>:</w:t>
      </w:r>
    </w:p>
    <w:p w14:paraId="49127D46">
      <w:pPr>
        <w:snapToGrid w:val="0"/>
        <w:spacing w:line="400" w:lineRule="exact"/>
        <w:ind w:firstLine="480" w:firstLineChars="200"/>
        <w:rPr>
          <w:rFonts w:ascii="宋体" w:hAnsi="宋体" w:cs="宋体"/>
          <w:color w:val="000000"/>
          <w:sz w:val="28"/>
          <w:szCs w:val="36"/>
        </w:rPr>
      </w:pPr>
      <w:r>
        <w:rPr>
          <w:rFonts w:ascii="仿宋" w:hAnsi="仿宋" w:eastAsia="仿宋" w:cs="宋体"/>
          <w:color w:val="000000"/>
        </w:rPr>
        <w:br w:type="page"/>
      </w:r>
      <w:r>
        <w:rPr>
          <w:rFonts w:hint="eastAsia" w:ascii="仿宋" w:hAnsi="仿宋" w:eastAsia="仿宋" w:cs="宋体"/>
          <w:color w:val="000000"/>
          <w:sz w:val="28"/>
          <w:szCs w:val="36"/>
        </w:rPr>
        <w:t>附件</w:t>
      </w:r>
      <w:r>
        <w:rPr>
          <w:rFonts w:ascii="仿宋" w:hAnsi="仿宋" w:eastAsia="仿宋" w:cs="宋体"/>
          <w:color w:val="000000"/>
          <w:sz w:val="28"/>
          <w:szCs w:val="36"/>
        </w:rPr>
        <w:t>1</w:t>
      </w:r>
      <w:r>
        <w:rPr>
          <w:rFonts w:hint="eastAsia" w:ascii="仿宋" w:hAnsi="仿宋" w:eastAsia="仿宋" w:cs="宋体"/>
          <w:color w:val="000000"/>
          <w:sz w:val="28"/>
          <w:szCs w:val="36"/>
        </w:rPr>
        <w:t>：</w:t>
      </w:r>
    </w:p>
    <w:p w14:paraId="7260C1A8">
      <w:pPr>
        <w:snapToGrid w:val="0"/>
        <w:spacing w:line="400" w:lineRule="exact"/>
        <w:ind w:firstLine="643" w:firstLineChars="200"/>
        <w:jc w:val="center"/>
        <w:outlineLvl w:val="0"/>
        <w:rPr>
          <w:rFonts w:ascii="宋体" w:hAnsi="宋体" w:cs="宋体"/>
          <w:b/>
          <w:bCs/>
          <w:color w:val="000000"/>
          <w:sz w:val="32"/>
          <w:szCs w:val="44"/>
        </w:rPr>
      </w:pPr>
      <w:r>
        <w:rPr>
          <w:rFonts w:hint="eastAsia" w:ascii="宋体" w:hAnsi="宋体" w:cs="宋体"/>
          <w:b/>
          <w:bCs/>
          <w:color w:val="000000"/>
          <w:sz w:val="32"/>
          <w:szCs w:val="44"/>
        </w:rPr>
        <w:t>客站经营场所安全协议</w:t>
      </w:r>
    </w:p>
    <w:p w14:paraId="45E9E63A">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 xml:space="preserve">甲方： </w:t>
      </w:r>
    </w:p>
    <w:p w14:paraId="4593939B">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 xml:space="preserve">地址： </w:t>
      </w:r>
    </w:p>
    <w:p w14:paraId="7382D3A9">
      <w:pPr>
        <w:snapToGrid w:val="0"/>
        <w:spacing w:line="400" w:lineRule="exact"/>
        <w:ind w:firstLine="480" w:firstLineChars="200"/>
        <w:rPr>
          <w:rFonts w:ascii="仿宋" w:hAnsi="仿宋" w:eastAsia="仿宋" w:cs="宋体"/>
          <w:color w:val="000000"/>
        </w:rPr>
      </w:pPr>
    </w:p>
    <w:p w14:paraId="05731D19">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 xml:space="preserve">乙方： </w:t>
      </w:r>
    </w:p>
    <w:p w14:paraId="7532050B">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 xml:space="preserve">地址： </w:t>
      </w:r>
    </w:p>
    <w:p w14:paraId="6AB33683">
      <w:pPr>
        <w:snapToGrid w:val="0"/>
        <w:spacing w:line="400" w:lineRule="exact"/>
        <w:ind w:firstLine="480" w:firstLineChars="200"/>
        <w:rPr>
          <w:rFonts w:ascii="仿宋" w:hAnsi="仿宋" w:eastAsia="仿宋" w:cs="宋体"/>
          <w:color w:val="000000"/>
        </w:rPr>
      </w:pPr>
    </w:p>
    <w:p w14:paraId="20C88A18">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为明确双方在客站经营场所经营管理中应承担的安全责任，确保商旅中心、商业VIP厅（以下简称经营场所）等客站经营场所的安全稳定，根据《中华人民共和国安全生产法》、《中华人民共和国消防法》、国务院《机关、团体、企业、事业单位消防管理规定》等法律法规规定，在双方签订《经营场所综合服务合同》的同时，签订本安全管理协议，以便共同遵守。</w:t>
      </w:r>
    </w:p>
    <w:p w14:paraId="34B05BBB">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一、经营场所所处位置、用途和期限</w:t>
      </w:r>
    </w:p>
    <w:p w14:paraId="3D8311DA">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1.经营场所所处位置（车站、楼层、经营场所编号）：</w:t>
      </w:r>
    </w:p>
    <w:p w14:paraId="159DA3C9">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2.经营场所用途（经营业态）：</w:t>
      </w:r>
    </w:p>
    <w:p w14:paraId="7EE540BB">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3.经营期限：自  年  月  日起至  年  月  日。</w:t>
      </w:r>
    </w:p>
    <w:p w14:paraId="78005D8F">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二、经营场所安全设施设备</w:t>
      </w:r>
    </w:p>
    <w:p w14:paraId="15761367">
      <w:pPr>
        <w:snapToGrid w:val="0"/>
        <w:spacing w:line="400" w:lineRule="exact"/>
        <w:ind w:firstLine="480" w:firstLineChars="200"/>
        <w:rPr>
          <w:rFonts w:ascii="仿宋" w:hAnsi="仿宋" w:eastAsia="仿宋" w:cs="宋体"/>
        </w:rPr>
      </w:pPr>
      <w:r>
        <w:rPr>
          <w:rFonts w:hint="eastAsia" w:ascii="仿宋" w:hAnsi="仿宋" w:eastAsia="仿宋" w:cs="宋体"/>
          <w:color w:val="000000"/>
        </w:rPr>
        <w:t>乙方按照消防安全、食品安全、治安安</w:t>
      </w:r>
      <w:r>
        <w:rPr>
          <w:rFonts w:hint="eastAsia" w:ascii="仿宋" w:hAnsi="仿宋" w:eastAsia="仿宋" w:cs="宋体"/>
        </w:rPr>
        <w:t>全、网络安全等管理规定，配置了相应的安全设施设备。如乙方未按规定要求配置设施设备，则必须立即整改，并承担相应责任。</w:t>
      </w:r>
    </w:p>
    <w:p w14:paraId="34CDA4C2">
      <w:pPr>
        <w:snapToGrid w:val="0"/>
        <w:spacing w:line="400" w:lineRule="exact"/>
        <w:ind w:firstLine="480" w:firstLineChars="200"/>
        <w:rPr>
          <w:rFonts w:ascii="仿宋" w:hAnsi="仿宋" w:eastAsia="仿宋" w:cs="宋体"/>
        </w:rPr>
      </w:pPr>
      <w:r>
        <w:rPr>
          <w:rFonts w:hint="eastAsia" w:ascii="仿宋" w:hAnsi="仿宋" w:eastAsia="仿宋" w:cs="宋体"/>
        </w:rPr>
        <w:t>三、甲方的权利和义务</w:t>
      </w:r>
    </w:p>
    <w:p w14:paraId="52BEFF00">
      <w:pPr>
        <w:snapToGrid w:val="0"/>
        <w:spacing w:line="400" w:lineRule="exact"/>
        <w:ind w:firstLine="480" w:firstLineChars="200"/>
        <w:rPr>
          <w:rFonts w:ascii="仿宋" w:hAnsi="仿宋" w:eastAsia="仿宋" w:cs="宋体"/>
        </w:rPr>
      </w:pPr>
      <w:r>
        <w:rPr>
          <w:rFonts w:hint="eastAsia" w:ascii="仿宋" w:hAnsi="仿宋" w:eastAsia="仿宋" w:cs="宋体"/>
        </w:rPr>
        <w:t>1.甲方应严格执行安全生产法、食品安全法、消防法等有关法律法规。</w:t>
      </w:r>
    </w:p>
    <w:p w14:paraId="29ECB16C">
      <w:pPr>
        <w:snapToGrid w:val="0"/>
        <w:spacing w:line="400" w:lineRule="exact"/>
        <w:ind w:firstLine="480" w:firstLineChars="200"/>
        <w:rPr>
          <w:rFonts w:ascii="仿宋" w:hAnsi="仿宋" w:eastAsia="仿宋" w:cs="宋体"/>
        </w:rPr>
      </w:pPr>
      <w:r>
        <w:rPr>
          <w:rFonts w:hint="eastAsia" w:ascii="仿宋" w:hAnsi="仿宋" w:eastAsia="仿宋" w:cs="宋体"/>
        </w:rPr>
        <w:t>2.甲方对经营场所享有管理权。</w:t>
      </w:r>
    </w:p>
    <w:p w14:paraId="2930F4AF">
      <w:pPr>
        <w:snapToGrid w:val="0"/>
        <w:spacing w:line="400" w:lineRule="exact"/>
        <w:ind w:firstLine="480" w:firstLineChars="200"/>
        <w:rPr>
          <w:rFonts w:ascii="仿宋" w:hAnsi="仿宋" w:eastAsia="仿宋" w:cs="宋体"/>
        </w:rPr>
      </w:pPr>
      <w:r>
        <w:rPr>
          <w:rFonts w:hint="eastAsia" w:ascii="仿宋" w:hAnsi="仿宋" w:eastAsia="仿宋" w:cs="宋体"/>
        </w:rPr>
        <w:t>3.甲方应当提供符合安全要求的经营场所。</w:t>
      </w:r>
    </w:p>
    <w:p w14:paraId="212E10C6">
      <w:pPr>
        <w:snapToGrid w:val="0"/>
        <w:spacing w:line="400" w:lineRule="exact"/>
        <w:ind w:firstLine="480" w:firstLineChars="200"/>
        <w:rPr>
          <w:rFonts w:ascii="仿宋" w:hAnsi="仿宋" w:eastAsia="仿宋" w:cs="宋体"/>
        </w:rPr>
      </w:pPr>
      <w:r>
        <w:rPr>
          <w:rFonts w:hint="eastAsia" w:ascii="仿宋" w:hAnsi="仿宋" w:eastAsia="仿宋" w:cs="宋体"/>
        </w:rPr>
        <w:t>4.甲方有权对经营场所定期进行安全检查，发现安全隐患应书面提出整改意见，督促乙方限期进行整改。</w:t>
      </w:r>
    </w:p>
    <w:p w14:paraId="49663A14">
      <w:pPr>
        <w:snapToGrid w:val="0"/>
        <w:spacing w:line="400" w:lineRule="exact"/>
        <w:ind w:firstLine="480" w:firstLineChars="200"/>
        <w:rPr>
          <w:rFonts w:ascii="仿宋" w:hAnsi="仿宋" w:eastAsia="仿宋" w:cs="宋体"/>
        </w:rPr>
      </w:pPr>
      <w:r>
        <w:rPr>
          <w:rFonts w:hint="eastAsia" w:ascii="仿宋" w:hAnsi="仿宋" w:eastAsia="仿宋" w:cs="宋体"/>
        </w:rPr>
        <w:t>5.甲方根据《中国铁路上海局集团有限公司客站商业消防安全负面积分管理办法（试行）》要求，将铁路方各级管理部门检查结果纳入客站商业消防安全负面积分管理。</w:t>
      </w:r>
    </w:p>
    <w:p w14:paraId="7FCFB35F">
      <w:pPr>
        <w:snapToGrid w:val="0"/>
        <w:spacing w:line="400" w:lineRule="exact"/>
        <w:ind w:firstLine="480" w:firstLineChars="200"/>
        <w:rPr>
          <w:rFonts w:ascii="仿宋" w:hAnsi="仿宋" w:eastAsia="仿宋" w:cs="宋体"/>
        </w:rPr>
      </w:pPr>
      <w:r>
        <w:rPr>
          <w:rFonts w:hint="eastAsia" w:ascii="仿宋" w:hAnsi="仿宋" w:eastAsia="仿宋" w:cs="宋体"/>
        </w:rPr>
        <w:t>四、乙方的权利和义务</w:t>
      </w:r>
    </w:p>
    <w:p w14:paraId="4313DC1D">
      <w:pPr>
        <w:snapToGrid w:val="0"/>
        <w:spacing w:line="400" w:lineRule="exact"/>
        <w:ind w:firstLine="480" w:firstLineChars="200"/>
        <w:rPr>
          <w:rFonts w:ascii="仿宋" w:hAnsi="仿宋" w:eastAsia="仿宋" w:cs="宋体"/>
        </w:rPr>
      </w:pPr>
      <w:r>
        <w:rPr>
          <w:rFonts w:hint="eastAsia" w:ascii="仿宋" w:hAnsi="仿宋" w:eastAsia="仿宋" w:cs="宋体"/>
        </w:rPr>
        <w:t>1.乙方须认真执行安全生产法、食品安全法、消防法、网络安全法等有关法律法规。</w:t>
      </w:r>
    </w:p>
    <w:p w14:paraId="59905E0C">
      <w:pPr>
        <w:snapToGrid w:val="0"/>
        <w:spacing w:line="400" w:lineRule="exact"/>
        <w:ind w:firstLine="480" w:firstLineChars="200"/>
        <w:rPr>
          <w:rFonts w:ascii="仿宋" w:hAnsi="仿宋" w:eastAsia="仿宋" w:cs="宋体"/>
          <w:color w:val="000000"/>
        </w:rPr>
      </w:pPr>
      <w:r>
        <w:rPr>
          <w:rFonts w:hint="eastAsia" w:ascii="仿宋" w:hAnsi="仿宋" w:eastAsia="仿宋" w:cs="宋体"/>
        </w:rPr>
        <w:t>2.乙方应对经营场所的安全负责，建立安全管理组织机构，制定安全管理制度和应急预案，定期对经营场所从业人员进行安全教育和培训，做到“四懂四会”（懂得本岗位的火灾危险性，懂得预防火灾的措施，懂得火灾的扑救方法，懂得逃生的办法；会报警，会使用灭</w:t>
      </w:r>
      <w:r>
        <w:rPr>
          <w:rFonts w:hint="eastAsia" w:ascii="仿宋" w:hAnsi="仿宋" w:eastAsia="仿宋" w:cs="宋体"/>
          <w:color w:val="000000"/>
        </w:rPr>
        <w:t>火器，会扑救初起火灾，会组织疏散逃生），指定安全负责人负责日常的安全工作，并报甲方备案。</w:t>
      </w:r>
    </w:p>
    <w:p w14:paraId="455D958C">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乙方应当积极配合甲方进行安全生产检查，不得以任何方式拒绝、阻挠和妨碍安全检查进行。乙方应接受甲方组织或委托第三方检测单位实施的专业检测维保（电气设施、烟道等）。对查出的安全隐患应及时组织整改，按时保证质量加以落实。</w:t>
      </w:r>
    </w:p>
    <w:p w14:paraId="49B90005">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乙方未经甲方同意，不得擅自将经营场所转让或改变经营场所的使用性质，不得擅自对经营场所进行改建、装修，不得任意改变经营场所内的电气线路和随意增加用电设备。乙方严禁擅自生产、存放、经营易燃、易爆、易腐及放射性等危害品；严禁擅自使用火炉取暖及明火（包括明火类蚊香等）。乙方应将经营场所内所使用的电器设备清单提供给甲方，由甲方对电器设备用电容量进行核准同意。乙方不得在经营场所存放可能造成环境污染的物品和挥发性大或气味浓烈的物品。</w:t>
      </w:r>
    </w:p>
    <w:p w14:paraId="4A35AFA1">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5.经营场所内的消防设施自《铁路经营场所服务合同》生效之日起由乙方管理，严禁遮挡埋压及挪做它用，如有丢失、损坏应及时通知甲方，并由责任方承担相应的安全责任。</w:t>
      </w:r>
    </w:p>
    <w:p w14:paraId="5E953D3E">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6.乙方对经营场所确需进行改造或装修时，必须经过甲方同意，并经铁路消防部门审核或备案后方可施工。改造或装修应由专业设计部门、专业施工或装修公司进行，工程竣工后，经铁路消防部门和甲方验收合格后才能投入使用。</w:t>
      </w:r>
    </w:p>
    <w:p w14:paraId="5423D71C">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7.经营场所的电气线路，应定期或根据甲方要求进行检测，对存在问题的电气线路乙方应进行改造更新。</w:t>
      </w:r>
    </w:p>
    <w:p w14:paraId="25C5486A">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8.乙方进货必须严格按照车站的相关规定，经规定通道安检后进站。</w:t>
      </w:r>
    </w:p>
    <w:p w14:paraId="2992A189">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9.乙方在经营场所使用期间因违反安全生产有关规定和要求，造成人员伤亡、财产损失的，由乙方承担相应的责任。</w:t>
      </w:r>
    </w:p>
    <w:p w14:paraId="5CFD8386">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10.乙方在经营场所使用期间因管理不当，在积分周期内负面积分达到一定分值时，造成后果由乙方自行承担。负面积分扣分标准及考核办法详见附件。</w:t>
      </w:r>
    </w:p>
    <w:p w14:paraId="0B1A5A86">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五、违约责任</w:t>
      </w:r>
    </w:p>
    <w:p w14:paraId="7C785E97">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1.由于一方违反本协议约定，引发火灾、网络安全等安全生产事故，造成对方或第三方人员伤亡、财产损失的，责任方应当承担法律和赔偿责任。</w:t>
      </w:r>
    </w:p>
    <w:p w14:paraId="42F9A7E2">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2.违反本协议约定，进行经营场所改造或装修造成经营场所损毁的，由责任方负完全责任并赔偿由此给对方造成的经济损失。</w:t>
      </w:r>
    </w:p>
    <w:p w14:paraId="6D148E7E">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3.若一方不执行上述1、2条约定，构成违约责任的事项，对方有权终止《铁路经营场所服务合同》。由此造成的经济损失由违约方承担。</w:t>
      </w:r>
    </w:p>
    <w:p w14:paraId="06BB995F">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4.若乙方在经营管理过程中未按甲方要求执行，造成安全事故或存在安全隐患应按照安全管理内容条款，对乙方进行处罚。</w:t>
      </w:r>
    </w:p>
    <w:p w14:paraId="349EC8D3">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六、其他：</w:t>
      </w:r>
    </w:p>
    <w:p w14:paraId="14B59608">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一旦发生火情，乙方有义务及时报警，并迅速采取有效措施组织抢救，防止事故扩大，减少人员伤亡和财产损失，并保护事故现场，保存有关证据。同时，要按照“四不放过”（事故原因没有查清楚不放过、事故责任人没有受到处理不放过、群众没有受到教育不放过、防范措施没有落实不放过）的原则，查找问题点，制定切实可行的防范措施。</w:t>
      </w:r>
    </w:p>
    <w:p w14:paraId="727078D3">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2.甲方或其上级专业部门有权随时检查经营场所及本协议落实情况。对安全隐患有权指出并要求责任方及时整改，对未整改而造成的后果和经济损失由责任方负责。</w:t>
      </w:r>
    </w:p>
    <w:p w14:paraId="048DF500">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3.本协议书一式四份，甲方、乙方和甲方上级主管部门各持一份，自签订之日起生效。</w:t>
      </w:r>
    </w:p>
    <w:p w14:paraId="5EE84C2F">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4.本协议期限同《铁路经营场所服务合同》的合同期限。</w:t>
      </w:r>
    </w:p>
    <w:p w14:paraId="0D96D0E9">
      <w:pPr>
        <w:snapToGrid w:val="0"/>
        <w:spacing w:line="400" w:lineRule="exact"/>
        <w:ind w:firstLine="480" w:firstLineChars="200"/>
        <w:rPr>
          <w:rFonts w:ascii="仿宋" w:hAnsi="仿宋" w:eastAsia="仿宋" w:cs="宋体"/>
          <w:color w:val="000000"/>
        </w:rPr>
      </w:pPr>
    </w:p>
    <w:p w14:paraId="51488AED">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附：（1）客站商业消防安全负面积分扣分标准及考核办法</w:t>
      </w:r>
    </w:p>
    <w:p w14:paraId="530056EF">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（2）网络安全协议</w:t>
      </w:r>
    </w:p>
    <w:p w14:paraId="0D94156E">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br w:type="page"/>
      </w:r>
      <w:r>
        <w:rPr>
          <w:rFonts w:hint="eastAsia" w:ascii="仿宋" w:hAnsi="仿宋" w:eastAsia="仿宋" w:cs="宋体"/>
          <w:color w:val="000000"/>
        </w:rPr>
        <w:t>附1-1：</w:t>
      </w:r>
    </w:p>
    <w:p w14:paraId="2FEB8016">
      <w:pPr>
        <w:pStyle w:val="63"/>
        <w:ind w:firstLine="420"/>
      </w:pPr>
    </w:p>
    <w:p w14:paraId="18F35160">
      <w:pPr>
        <w:snapToGrid w:val="0"/>
        <w:spacing w:line="400" w:lineRule="exact"/>
        <w:ind w:firstLine="482" w:firstLineChars="200"/>
        <w:jc w:val="center"/>
        <w:rPr>
          <w:rFonts w:ascii="宋体" w:hAnsi="宋体" w:cs="宋体"/>
          <w:b/>
          <w:color w:val="000000"/>
        </w:rPr>
      </w:pPr>
      <w:r>
        <w:rPr>
          <w:rFonts w:hint="eastAsia" w:ascii="宋体" w:hAnsi="宋体" w:cs="宋体"/>
          <w:b/>
          <w:color w:val="000000"/>
        </w:rPr>
        <w:t xml:space="preserve"> 客站商业消防安全负面积分扣分标准及考核办法</w:t>
      </w:r>
    </w:p>
    <w:p w14:paraId="7B054676">
      <w:pPr>
        <w:pStyle w:val="63"/>
        <w:ind w:firstLine="420"/>
      </w:pPr>
    </w:p>
    <w:p w14:paraId="31C3AB53">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一、对商户负面积分标准如下：</w:t>
      </w:r>
    </w:p>
    <w:p w14:paraId="6FE22269">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1．在经营场所设计阶段委托的设计单位不具备资质的；装修结束后未经经营单位组织竣工验收即营业的；对竣工验收提出的问题未整改落实的，一次积 2 分。</w:t>
      </w:r>
    </w:p>
    <w:p w14:paraId="6C75326E">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2．未履行报批程序，擅自进行装修改造的，一次积 2 分。</w:t>
      </w:r>
    </w:p>
    <w:p w14:paraId="008DA05D">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3．装修使用的龙骨、石膏板、电缆、防火门等材料不符合消防规范要求的，一次积 2 分。</w:t>
      </w:r>
    </w:p>
    <w:p w14:paraId="5D01C219">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4．二次消防设备设施和配电箱未落实专业维保的，一次积 1分。</w:t>
      </w:r>
    </w:p>
    <w:p w14:paraId="0BBE0434">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5．未按规定配备配足消防灭火器材的，消防设备功能状态不良、影响正常使用的，一次积 1 分。</w:t>
      </w:r>
    </w:p>
    <w:p w14:paraId="15D668BD">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6．占用疏散通道、安全出口的，或营业区域内消防应急照明、安全疏散指示标志损坏或失效未及时修复的，一次积 1 分。</w:t>
      </w:r>
    </w:p>
    <w:p w14:paraId="5CE1E7FB">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7．未能保证三相负载电流基本平衡，最大负载电流超过开关额定电流 80%的，一次积 1 分。</w:t>
      </w:r>
    </w:p>
    <w:p w14:paraId="4E96BD90">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8．擅自增加用电设备和超负荷用电的；大功率电器未执行使用寿命管理的，未按要求申报登记即私自使用设备的，涂改经营单位审核台账记录的，一次积 2 分。</w:t>
      </w:r>
    </w:p>
    <w:p w14:paraId="3939EBDC">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9．未按要求定期开展排烟罩和自建烟道清洗的，一次积 2分。</w:t>
      </w:r>
    </w:p>
    <w:p w14:paraId="1711480F">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10．未按要求开展消防巡检巡查的，一次积 1 分。</w:t>
      </w:r>
    </w:p>
    <w:p w14:paraId="79EC7234">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11．当班人员不掌握消防应知应会、客运车站消防安全禁止性行为和应急处置要求的，一次积 1 分。</w:t>
      </w:r>
    </w:p>
    <w:p w14:paraId="21BADB59">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12．对安全隐患整改不到位的，一次积 2 分；整改后问题再次发生的，一次积 3 分；检查问题无故拖延不整改的，一次积 5分。</w:t>
      </w:r>
    </w:p>
    <w:p w14:paraId="240AFC3F">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13．被录入上海局集团公司安全管理信息平台的其他消防安全问题，积分标准为：安全事苗，一次积 10 分；安全监察指令书，一次积 5 分；安全检查（整改）通知书，一次积 3 分；A 类问题，一次积 2 分；B 类问题，一次积 1 分。其中，属集团公司业务部门检查发现问题的，加扣 1 分。</w:t>
      </w:r>
    </w:p>
    <w:p w14:paraId="59FB3F64">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14．上级通报涉及商户的消防安全问题，积分标准为：国铁集团通报的问题，一次积 5 分；集团公司通报的问题，一次积 3分。</w:t>
      </w:r>
    </w:p>
    <w:p w14:paraId="38A3B124">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二、考核处理</w:t>
      </w:r>
    </w:p>
    <w:p w14:paraId="1FAE3A66">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1.客站商业经营合同期内，由于商户责任引发火灾、火情，造成人员伤亡事故、其他经济损失或其他不良后果的，依据经营合同，依法追究商户应承担的法律责任和经济赔偿责任。</w:t>
      </w:r>
    </w:p>
    <w:p w14:paraId="32306E3C">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2.积分周期内负面积分达到一定分值时，对乙方进行考核，标准如下：</w:t>
      </w:r>
    </w:p>
    <w:p w14:paraId="1BE38577">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（1）累计达 5 分，由甲方给予商户下发安全预警书。</w:t>
      </w:r>
    </w:p>
    <w:p w14:paraId="763C7DDE">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（2）累计达 10 分或触碰集团公司客运车站消防安全禁止性行为的，由甲方给予该商户下发经营场所停业整改通知书。</w:t>
      </w:r>
    </w:p>
    <w:p w14:paraId="1EF720A6">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（3）累计达 15 分，由甲方给予该商户下发经营场所停业整改通知书，且该商户不得参加累计满 15 分之日起一年内集团公司客站商业招商活动或参与集成商承接的经营场所经营。</w:t>
      </w:r>
    </w:p>
    <w:p w14:paraId="2F504E9F">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（4）累计达 20 分，由甲方给予该商户下发经营场所停业整改通知书，且该商户不得参加累计满 20 分之日起两年内集团公司客站商业招商活动或参与集成商承接的经营场所经营。</w:t>
      </w:r>
    </w:p>
    <w:p w14:paraId="2E3241B0">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（5）累计达 25 分，甲方与该商户解除合同，并将该商户列入黑名单，该商户不得参加累计满 25 分之日起两年内集团公司客站商业招商活动或参与集成商承接的经营场所经营。</w:t>
      </w:r>
    </w:p>
    <w:p w14:paraId="3033A8A0">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3.负面积分按单经营场所累积。</w:t>
      </w:r>
    </w:p>
    <w:p w14:paraId="3362DDE7">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4.负面积分周期为每年1月1日至12月31日，期满后，原积分自动归零，重新进行累积。</w:t>
      </w:r>
    </w:p>
    <w:p w14:paraId="424C6013">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三、客运车站消防安全禁止性行为</w:t>
      </w:r>
    </w:p>
    <w:p w14:paraId="772B1679">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1.在供用电线路上私自接线用电、乱接乱拉电源线，擅自引入、供出电源或者将自备电源并网。</w:t>
      </w:r>
    </w:p>
    <w:p w14:paraId="3FF86B37">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2.违规使用无证（生产许可证）、“三无”（无生产日期、无质量合格证、无生产者名称）电气产品和质量不合格电气产品。</w:t>
      </w:r>
    </w:p>
    <w:p w14:paraId="4201D5AF">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3.从业人员在工作场所违规安装或使用火灾危险性较大的电器设备，违规为电动车、清扫机等移动设施充电。</w:t>
      </w:r>
    </w:p>
    <w:p w14:paraId="584682B3">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4.未办理用电手续增加用电设备容量，擅自扩大空气开关、熔断器（熔丝）容量或用其他金属替代。</w:t>
      </w:r>
    </w:p>
    <w:p w14:paraId="1E7900ED">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5.擅自关闭、停用消防设备设施，随意触动、使用消防设备设施，消防设备设施、用电线路及设施失管失修。</w:t>
      </w:r>
    </w:p>
    <w:p w14:paraId="7E2D5FCD">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6.擅自埋压、圈占、遮挡消火栓或者占用防火间距，占用、堵塞、封闭疏散通道、安全出口、消防车通道。</w:t>
      </w:r>
    </w:p>
    <w:p w14:paraId="0B1402FA">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7.禁烟区内违规吸烟。</w:t>
      </w:r>
    </w:p>
    <w:p w14:paraId="16639A2D">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8.商业餐饮油炸食品违反油量、油温规定，灶台、烟道油垢清洗不达标。</w:t>
      </w:r>
    </w:p>
    <w:p w14:paraId="574762E4">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9.高层站房内违规使用罐装液化气。</w:t>
      </w:r>
    </w:p>
    <w:p w14:paraId="45CBED5C">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10.施工动火作业未办理动火审批手续，未落实安全防护、监护措施。</w:t>
      </w:r>
    </w:p>
    <w:p w14:paraId="53EDFADE">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11.站区内未按规定使用、存放易燃易爆危险品。</w:t>
      </w:r>
    </w:p>
    <w:p w14:paraId="21DF585B">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12.消防安全隐患问题长期未落实整改。</w:t>
      </w:r>
    </w:p>
    <w:p w14:paraId="22759C95">
      <w:pPr>
        <w:snapToGrid w:val="0"/>
        <w:spacing w:line="400" w:lineRule="exact"/>
        <w:ind w:firstLine="440" w:firstLineChars="200"/>
        <w:outlineLvl w:val="0"/>
        <w:rPr>
          <w:rFonts w:ascii="仿宋" w:hAnsi="仿宋" w:eastAsia="仿宋" w:cs="宋体"/>
          <w:color w:val="000000"/>
          <w:sz w:val="22"/>
          <w:szCs w:val="22"/>
        </w:rPr>
      </w:pPr>
    </w:p>
    <w:p w14:paraId="34B55AD3">
      <w:pPr>
        <w:spacing w:line="400" w:lineRule="exact"/>
        <w:ind w:firstLine="440" w:firstLineChars="200"/>
        <w:rPr>
          <w:rFonts w:ascii="仿宋" w:hAnsi="仿宋" w:eastAsia="仿宋" w:cs="宋体"/>
          <w:color w:val="000000"/>
          <w:sz w:val="22"/>
          <w:szCs w:val="22"/>
        </w:rPr>
      </w:pPr>
    </w:p>
    <w:p w14:paraId="617AE0E2">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甲方</w:t>
      </w:r>
      <w:r>
        <w:rPr>
          <w:rFonts w:ascii="仿宋" w:hAnsi="仿宋" w:eastAsia="仿宋" w:cs="宋体"/>
          <w:color w:val="000000"/>
          <w:sz w:val="22"/>
          <w:szCs w:val="22"/>
        </w:rPr>
        <w:t>(</w:t>
      </w:r>
      <w:r>
        <w:rPr>
          <w:rFonts w:hint="eastAsia" w:ascii="仿宋" w:hAnsi="仿宋" w:eastAsia="仿宋" w:cs="宋体"/>
          <w:color w:val="000000"/>
          <w:sz w:val="22"/>
          <w:szCs w:val="22"/>
        </w:rPr>
        <w:t>盖章</w:t>
      </w:r>
      <w:r>
        <w:rPr>
          <w:rFonts w:ascii="仿宋" w:hAnsi="仿宋" w:eastAsia="仿宋" w:cs="宋体"/>
          <w:color w:val="000000"/>
          <w:sz w:val="22"/>
          <w:szCs w:val="22"/>
        </w:rPr>
        <w:t xml:space="preserve">):                         </w:t>
      </w:r>
      <w:r>
        <w:rPr>
          <w:rFonts w:hint="eastAsia" w:ascii="仿宋" w:hAnsi="仿宋" w:eastAsia="仿宋" w:cs="宋体"/>
          <w:color w:val="000000"/>
          <w:sz w:val="22"/>
          <w:szCs w:val="22"/>
        </w:rPr>
        <w:t>乙方</w:t>
      </w:r>
      <w:r>
        <w:rPr>
          <w:rFonts w:ascii="仿宋" w:hAnsi="仿宋" w:eastAsia="仿宋" w:cs="宋体"/>
          <w:color w:val="000000"/>
          <w:sz w:val="22"/>
          <w:szCs w:val="22"/>
        </w:rPr>
        <w:t>(</w:t>
      </w:r>
      <w:r>
        <w:rPr>
          <w:rFonts w:hint="eastAsia" w:ascii="仿宋" w:hAnsi="仿宋" w:eastAsia="仿宋" w:cs="宋体"/>
          <w:color w:val="000000"/>
          <w:sz w:val="22"/>
          <w:szCs w:val="22"/>
        </w:rPr>
        <w:t>盖章</w:t>
      </w:r>
      <w:r>
        <w:rPr>
          <w:rFonts w:ascii="仿宋" w:hAnsi="仿宋" w:eastAsia="仿宋" w:cs="宋体"/>
          <w:color w:val="000000"/>
          <w:sz w:val="22"/>
          <w:szCs w:val="22"/>
        </w:rPr>
        <w:t>):</w:t>
      </w:r>
    </w:p>
    <w:p w14:paraId="74172E9A">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法定代表人或委托人</w:t>
      </w:r>
      <w:r>
        <w:rPr>
          <w:rFonts w:ascii="仿宋" w:hAnsi="仿宋" w:eastAsia="仿宋" w:cs="宋体"/>
          <w:color w:val="000000"/>
          <w:sz w:val="22"/>
          <w:szCs w:val="22"/>
        </w:rPr>
        <w:t xml:space="preserve">:                   </w:t>
      </w:r>
      <w:r>
        <w:rPr>
          <w:rFonts w:hint="eastAsia" w:ascii="仿宋" w:hAnsi="仿宋" w:eastAsia="仿宋" w:cs="宋体"/>
          <w:color w:val="000000"/>
          <w:sz w:val="22"/>
          <w:szCs w:val="22"/>
        </w:rPr>
        <w:t>法定代表人或委托人</w:t>
      </w:r>
      <w:r>
        <w:rPr>
          <w:rFonts w:ascii="仿宋" w:hAnsi="仿宋" w:eastAsia="仿宋" w:cs="宋体"/>
          <w:color w:val="000000"/>
          <w:sz w:val="22"/>
          <w:szCs w:val="22"/>
        </w:rPr>
        <w:t>:</w:t>
      </w:r>
    </w:p>
    <w:p w14:paraId="60C8EE98">
      <w:pPr>
        <w:snapToGrid w:val="0"/>
        <w:spacing w:line="400" w:lineRule="exact"/>
        <w:ind w:firstLine="440" w:firstLineChars="200"/>
        <w:rPr>
          <w:rFonts w:ascii="仿宋" w:hAnsi="仿宋" w:eastAsia="仿宋" w:cs="宋体"/>
          <w:color w:val="000000"/>
          <w:sz w:val="22"/>
          <w:szCs w:val="22"/>
        </w:rPr>
      </w:pPr>
      <w:r>
        <w:rPr>
          <w:rFonts w:hint="eastAsia" w:ascii="仿宋" w:hAnsi="仿宋" w:eastAsia="仿宋" w:cs="宋体"/>
          <w:color w:val="000000"/>
          <w:sz w:val="22"/>
          <w:szCs w:val="22"/>
        </w:rPr>
        <w:t>日期</w:t>
      </w:r>
      <w:r>
        <w:rPr>
          <w:rFonts w:ascii="仿宋" w:hAnsi="仿宋" w:eastAsia="仿宋" w:cs="宋体"/>
          <w:color w:val="000000"/>
          <w:sz w:val="22"/>
          <w:szCs w:val="22"/>
        </w:rPr>
        <w:t xml:space="preserve">:                                 </w:t>
      </w:r>
      <w:r>
        <w:rPr>
          <w:rFonts w:hint="eastAsia" w:ascii="仿宋" w:hAnsi="仿宋" w:eastAsia="仿宋" w:cs="宋体"/>
          <w:color w:val="000000"/>
          <w:sz w:val="22"/>
          <w:szCs w:val="22"/>
        </w:rPr>
        <w:t>日期</w:t>
      </w:r>
      <w:r>
        <w:rPr>
          <w:rFonts w:ascii="仿宋" w:hAnsi="仿宋" w:eastAsia="仿宋" w:cs="宋体"/>
          <w:color w:val="000000"/>
          <w:sz w:val="22"/>
          <w:szCs w:val="22"/>
        </w:rPr>
        <w:t>:</w:t>
      </w:r>
    </w:p>
    <w:p w14:paraId="5CC0164F">
      <w:pPr>
        <w:snapToGrid w:val="0"/>
        <w:spacing w:line="400" w:lineRule="exact"/>
        <w:ind w:firstLine="440" w:firstLineChars="200"/>
        <w:rPr>
          <w:rFonts w:ascii="仿宋" w:hAnsi="仿宋" w:eastAsia="仿宋"/>
          <w:color w:val="FF0000"/>
          <w:sz w:val="22"/>
          <w:szCs w:val="22"/>
        </w:rPr>
      </w:pPr>
    </w:p>
    <w:p w14:paraId="06AAB090">
      <w:pPr>
        <w:snapToGrid w:val="0"/>
        <w:spacing w:line="400" w:lineRule="exact"/>
        <w:ind w:firstLine="440" w:firstLineChars="200"/>
        <w:rPr>
          <w:rFonts w:ascii="仿宋" w:hAnsi="仿宋" w:eastAsia="仿宋"/>
          <w:color w:val="FF0000"/>
          <w:sz w:val="22"/>
          <w:szCs w:val="22"/>
        </w:rPr>
      </w:pPr>
    </w:p>
    <w:p w14:paraId="3180C7EE">
      <w:pPr>
        <w:snapToGrid w:val="0"/>
        <w:spacing w:line="400" w:lineRule="exact"/>
        <w:ind w:firstLine="440" w:firstLineChars="200"/>
        <w:rPr>
          <w:rFonts w:ascii="仿宋" w:hAnsi="仿宋" w:eastAsia="仿宋"/>
          <w:color w:val="FF0000"/>
          <w:sz w:val="22"/>
          <w:szCs w:val="22"/>
        </w:rPr>
      </w:pPr>
    </w:p>
    <w:p w14:paraId="27BBA927">
      <w:pPr>
        <w:snapToGrid w:val="0"/>
        <w:spacing w:line="400" w:lineRule="exact"/>
        <w:ind w:firstLine="480" w:firstLineChars="200"/>
        <w:rPr>
          <w:rFonts w:ascii="仿宋" w:hAnsi="仿宋" w:eastAsia="仿宋"/>
          <w:color w:val="FF0000"/>
          <w:sz w:val="28"/>
        </w:rPr>
      </w:pPr>
      <w:r>
        <w:rPr>
          <w:rFonts w:hint="eastAsia" w:ascii="仿宋" w:hAnsi="仿宋" w:eastAsia="仿宋" w:cs="宋体"/>
          <w:color w:val="000000"/>
        </w:rPr>
        <w:br w:type="page"/>
      </w:r>
      <w:r>
        <w:rPr>
          <w:rFonts w:hint="eastAsia" w:ascii="仿宋" w:hAnsi="仿宋" w:eastAsia="仿宋" w:cs="宋体"/>
          <w:color w:val="000000"/>
        </w:rPr>
        <w:t xml:space="preserve">附1-2： </w:t>
      </w:r>
    </w:p>
    <w:p w14:paraId="44630425">
      <w:pPr>
        <w:snapToGrid w:val="0"/>
        <w:spacing w:line="400" w:lineRule="exact"/>
        <w:ind w:firstLine="643" w:firstLineChars="200"/>
        <w:jc w:val="center"/>
        <w:rPr>
          <w:rFonts w:ascii="仿宋" w:hAnsi="仿宋" w:eastAsia="仿宋" w:cs="宋体"/>
          <w:b/>
          <w:bCs/>
          <w:color w:val="000000"/>
          <w:sz w:val="32"/>
          <w:szCs w:val="44"/>
        </w:rPr>
      </w:pPr>
      <w:r>
        <w:rPr>
          <w:rFonts w:hint="eastAsia" w:ascii="仿宋" w:hAnsi="仿宋" w:eastAsia="仿宋" w:cs="宋体"/>
          <w:b/>
          <w:bCs/>
          <w:color w:val="000000"/>
          <w:sz w:val="32"/>
          <w:szCs w:val="44"/>
        </w:rPr>
        <w:t>网络安全协议</w:t>
      </w:r>
    </w:p>
    <w:p w14:paraId="51ACCD8D">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 xml:space="preserve">甲方： </w:t>
      </w:r>
    </w:p>
    <w:p w14:paraId="689065C2">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 xml:space="preserve">乙方： </w:t>
      </w:r>
    </w:p>
    <w:p w14:paraId="19D6DD15">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为明确甲乙双方在商业合作中的网络安全责任，保障网络安全稳定，依据《中华人民共和国网络安全法》等法律法规和铁路有关规定，经双方协商，签订以下协议。</w:t>
      </w:r>
    </w:p>
    <w:p w14:paraId="7A7F135C">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一、本协议为</w:t>
      </w:r>
      <w:r>
        <w:rPr>
          <w:rFonts w:ascii="仿宋" w:hAnsi="仿宋" w:eastAsia="仿宋" w:cs="宋体"/>
          <w:color w:val="000000"/>
        </w:rPr>
        <w:softHyphen/>
      </w:r>
      <w:r>
        <w:rPr>
          <w:rFonts w:hint="eastAsia" w:ascii="仿宋" w:hAnsi="仿宋" w:eastAsia="仿宋" w:cs="宋体"/>
          <w:color w:val="000000"/>
        </w:rPr>
        <w:softHyphen/>
      </w:r>
      <w:r>
        <w:rPr>
          <w:rFonts w:hint="eastAsia" w:ascii="仿宋" w:hAnsi="仿宋" w:eastAsia="仿宋" w:cs="宋体"/>
          <w:color w:val="000000"/>
        </w:rPr>
        <w:t>甲乙双方签订                     的附加协议，协议期限与原协议一致。</w:t>
      </w:r>
    </w:p>
    <w:p w14:paraId="12610082">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二、甲乙双方均应严格遵守国家法律法规和国铁集团、上海局集团公司和上铁文旅传媒集团公司有关网络安全的相关规定，自觉接受铁路管理部门的监督、检查和指导，积极配合完善网络安全防范方案，提高网络安全防控能力。</w:t>
      </w:r>
    </w:p>
    <w:p w14:paraId="3D091864">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三、甲方应对乙方提报的广告上刊内容（含图片、视频、声音等）进行审核，确保符合《广告法》相关要求。</w:t>
      </w:r>
    </w:p>
    <w:p w14:paraId="0E9E8B0D">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四、甲方提供的网线、光纤等，应采取有效保护措施，防止接头、线体等外露。</w:t>
      </w:r>
    </w:p>
    <w:p w14:paraId="49BD1CEF">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五、乙方按照国家有关规定和商业合作协议要求制作广告内容，所有发布的广告内容须经甲方审核后才能发布。所有发布的广告内容，必须与审核通过内容一致。</w:t>
      </w:r>
    </w:p>
    <w:p w14:paraId="5F47FE13">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六、广告内容含有</w:t>
      </w:r>
      <w:r>
        <w:rPr>
          <w:rFonts w:ascii="仿宋" w:hAnsi="仿宋" w:eastAsia="仿宋" w:cs="宋体"/>
          <w:color w:val="000000"/>
        </w:rPr>
        <w:t>“</w:t>
      </w:r>
      <w:r>
        <w:rPr>
          <w:rFonts w:hint="eastAsia" w:ascii="仿宋" w:hAnsi="仿宋" w:eastAsia="仿宋" w:cs="宋体"/>
          <w:color w:val="000000"/>
        </w:rPr>
        <w:t>二维码</w:t>
      </w:r>
      <w:r>
        <w:rPr>
          <w:rFonts w:ascii="仿宋" w:hAnsi="仿宋" w:eastAsia="仿宋" w:cs="宋体"/>
          <w:color w:val="000000"/>
        </w:rPr>
        <w:t>”</w:t>
      </w:r>
      <w:r>
        <w:rPr>
          <w:rFonts w:hint="eastAsia" w:ascii="仿宋" w:hAnsi="仿宋" w:eastAsia="仿宋" w:cs="宋体"/>
          <w:color w:val="000000"/>
        </w:rPr>
        <w:t>的，乙方须进行合规性审查，确保“二维码”链接内容依法合规。在此基础上，提供“二维码”验证审核单，经甲方审批通过后方可上刊。如“二维码”图形及</w:t>
      </w:r>
      <w:r>
        <w:rPr>
          <w:rFonts w:ascii="仿宋" w:hAnsi="仿宋" w:eastAsia="仿宋" w:cs="宋体"/>
          <w:color w:val="000000"/>
        </w:rPr>
        <w:t>链接</w:t>
      </w:r>
      <w:r>
        <w:rPr>
          <w:rFonts w:hint="eastAsia" w:ascii="仿宋" w:hAnsi="仿宋" w:eastAsia="仿宋" w:cs="宋体"/>
          <w:color w:val="000000"/>
        </w:rPr>
        <w:t>内容发生变化的，乙方应履行重新验证审核手续，不得</w:t>
      </w:r>
      <w:r>
        <w:rPr>
          <w:rFonts w:ascii="仿宋" w:hAnsi="仿宋" w:eastAsia="仿宋" w:cs="宋体"/>
          <w:color w:val="000000"/>
        </w:rPr>
        <w:t>擅自变更。</w:t>
      </w:r>
    </w:p>
    <w:p w14:paraId="655DF436">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七、乙方对电子显示屏及相关的服务器、传输通道、终端设备等须构建防入侵、防篡改、防“黑客”、防木马植入、防近源攻击等防护措施，定期查杀计算机病毒，相关应用软件应通过国家有关部门有关网络安全的等级评审，设备及软件符合信创管理要求。</w:t>
      </w:r>
    </w:p>
    <w:p w14:paraId="7C698032">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八、乙方应关闭电子屏的无线、蓝牙、投屏等功能，无人值守场所对网络、USB、HDMI等端口采取封锁措施；未经批准不得设置无线WIFI，经批准的无线WIFI必须按照规定使用。</w:t>
      </w:r>
    </w:p>
    <w:p w14:paraId="416B8568">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九、乙方须遵守铁路网络安全管理规定，不得私自接入或协助其他无关人员接入铁路信息网络使用网络资源；不从事非法获取、出售、向他人提供公民个人信息和铁路内部重要信息的活动；不从事非法侵入他人网络、干扰他人网络正常功能、窃取网络数据等危害网络安全的活动；不提供和使用用于从事侵入网络、干扰网络正常功能及防护措施正常运行、窃取网络数据等危害网络安全活动的程序、工具。</w:t>
      </w:r>
    </w:p>
    <w:p w14:paraId="01639A04">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十、如乙方提供的设备或软件存在网络安全隐患，乙方须按照甲方要求进行整改。整改不到位的，甲方有权暂停或取消合作项目，直至整改符合要求，造成负面影响或经济损失，乙方应予赔偿。</w:t>
      </w:r>
    </w:p>
    <w:p w14:paraId="2255D3B1">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十一、遇到重点时期或任务，乙方按照相关通知要求加强管理，落实网络安全防范措施。</w:t>
      </w:r>
    </w:p>
    <w:p w14:paraId="7B6F2162">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十二、甲、乙双方应配备相应的巡查人员开展日常巡查，组织应急处置演练，及时处置网络安全隐患或事件，并配合铁路有关部门做好网络安全事件调查。</w:t>
      </w:r>
    </w:p>
    <w:p w14:paraId="41D83AF3">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十三、发生各类网络安全问题或事件，由违约方或责任方承担所有责任和一切经济损失。</w:t>
      </w:r>
    </w:p>
    <w:p w14:paraId="47DDF87B">
      <w:pPr>
        <w:snapToGrid w:val="0"/>
        <w:spacing w:line="400" w:lineRule="exact"/>
        <w:ind w:firstLine="480" w:firstLineChars="200"/>
        <w:rPr>
          <w:rFonts w:ascii="仿宋" w:hAnsi="仿宋" w:eastAsia="仿宋" w:cs="宋体"/>
          <w:color w:val="000000"/>
          <w:u w:val="single"/>
        </w:rPr>
      </w:pPr>
      <w:r>
        <w:rPr>
          <w:rFonts w:hint="eastAsia" w:ascii="仿宋" w:hAnsi="仿宋" w:eastAsia="仿宋" w:cs="宋体"/>
          <w:color w:val="000000"/>
        </w:rPr>
        <w:t>十四、其他事项：</w:t>
      </w:r>
    </w:p>
    <w:p w14:paraId="5E060367">
      <w:pPr>
        <w:snapToGrid w:val="0"/>
        <w:spacing w:line="400" w:lineRule="exact"/>
        <w:ind w:firstLine="480" w:firstLineChars="200"/>
        <w:rPr>
          <w:rFonts w:ascii="仿宋" w:hAnsi="仿宋" w:eastAsia="仿宋" w:cs="宋体"/>
          <w:color w:val="000000"/>
          <w:u w:val="single"/>
        </w:rPr>
      </w:pPr>
    </w:p>
    <w:p w14:paraId="70FC0603">
      <w:pPr>
        <w:pStyle w:val="63"/>
        <w:ind w:firstLine="480"/>
        <w:rPr>
          <w:sz w:val="24"/>
          <w:szCs w:val="24"/>
        </w:rPr>
      </w:pPr>
    </w:p>
    <w:p w14:paraId="250C79D5"/>
    <w:p w14:paraId="23D9096C">
      <w:pPr>
        <w:pStyle w:val="63"/>
        <w:ind w:firstLine="480"/>
        <w:rPr>
          <w:sz w:val="24"/>
          <w:szCs w:val="24"/>
        </w:rPr>
      </w:pPr>
    </w:p>
    <w:p w14:paraId="0B3237D0"/>
    <w:p w14:paraId="5F6A16F0">
      <w:pPr>
        <w:pStyle w:val="63"/>
        <w:ind w:firstLine="480"/>
        <w:rPr>
          <w:sz w:val="24"/>
          <w:szCs w:val="24"/>
        </w:rPr>
      </w:pPr>
    </w:p>
    <w:p w14:paraId="19D77984">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甲方（盖章）                              乙方（盖章）</w:t>
      </w:r>
    </w:p>
    <w:p w14:paraId="75620295">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法定代表人或委托人</w:t>
      </w:r>
      <w:r>
        <w:rPr>
          <w:rFonts w:ascii="仿宋" w:hAnsi="仿宋" w:eastAsia="仿宋" w:cs="宋体"/>
          <w:color w:val="000000"/>
        </w:rPr>
        <w:t xml:space="preserve">:          </w:t>
      </w:r>
      <w:r>
        <w:rPr>
          <w:rFonts w:hint="eastAsia" w:ascii="仿宋" w:hAnsi="仿宋" w:eastAsia="仿宋" w:cs="宋体"/>
          <w:color w:val="000000"/>
        </w:rPr>
        <w:t>法定代表人或委托人</w:t>
      </w:r>
      <w:r>
        <w:rPr>
          <w:rFonts w:ascii="仿宋" w:hAnsi="仿宋" w:eastAsia="仿宋" w:cs="宋体"/>
          <w:color w:val="000000"/>
        </w:rPr>
        <w:t>:</w:t>
      </w:r>
    </w:p>
    <w:p w14:paraId="533D68AE">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年   月    日                             年   月    日</w:t>
      </w:r>
    </w:p>
    <w:p w14:paraId="1F00EEC9">
      <w:pPr>
        <w:snapToGrid w:val="0"/>
        <w:spacing w:line="400" w:lineRule="exact"/>
        <w:ind w:firstLine="480" w:firstLineChars="200"/>
        <w:rPr>
          <w:rFonts w:ascii="仿宋" w:hAnsi="仿宋" w:eastAsia="仿宋" w:cs="宋体"/>
          <w:color w:val="000000"/>
          <w:sz w:val="28"/>
          <w:szCs w:val="36"/>
        </w:rPr>
      </w:pPr>
      <w:r>
        <w:rPr>
          <w:rFonts w:hint="eastAsia" w:ascii="仿宋" w:hAnsi="仿宋" w:eastAsia="仿宋" w:cs="宋体"/>
          <w:color w:val="000000"/>
        </w:rPr>
        <w:br w:type="page"/>
      </w:r>
      <w:r>
        <w:rPr>
          <w:rFonts w:hint="eastAsia" w:ascii="仿宋" w:hAnsi="仿宋" w:eastAsia="仿宋" w:cs="宋体"/>
          <w:color w:val="000000"/>
          <w:sz w:val="28"/>
          <w:szCs w:val="36"/>
        </w:rPr>
        <w:t>附件2：</w:t>
      </w:r>
    </w:p>
    <w:p w14:paraId="1BF1CD7F">
      <w:pPr>
        <w:snapToGrid w:val="0"/>
        <w:spacing w:line="400" w:lineRule="exact"/>
        <w:ind w:firstLine="643" w:firstLineChars="200"/>
        <w:jc w:val="center"/>
        <w:rPr>
          <w:rFonts w:ascii="仿宋" w:hAnsi="仿宋" w:eastAsia="仿宋" w:cs="宋体"/>
          <w:b/>
          <w:bCs/>
          <w:color w:val="000000"/>
          <w:sz w:val="32"/>
          <w:szCs w:val="44"/>
        </w:rPr>
      </w:pPr>
      <w:r>
        <w:rPr>
          <w:rFonts w:hint="eastAsia" w:ascii="仿宋" w:hAnsi="仿宋" w:eastAsia="仿宋" w:cs="宋体"/>
          <w:b/>
          <w:bCs/>
          <w:color w:val="000000"/>
          <w:sz w:val="32"/>
          <w:szCs w:val="44"/>
        </w:rPr>
        <w:t>商家公约</w:t>
      </w:r>
    </w:p>
    <w:p w14:paraId="44771409">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为加强铁路客站商业运营管理，特制订商家公约，并作为《铁路经营场所服务合同》的附件，乙方应严格执行公约的各项规定，违反公约规定的将进行违约考核。</w:t>
      </w:r>
    </w:p>
    <w:p w14:paraId="01648148">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一、违约条款</w:t>
      </w:r>
    </w:p>
    <w:p w14:paraId="117094F0">
      <w:pPr>
        <w:snapToGrid w:val="0"/>
        <w:spacing w:line="400" w:lineRule="exact"/>
        <w:ind w:firstLine="480" w:firstLineChars="200"/>
        <w:outlineLvl w:val="0"/>
        <w:rPr>
          <w:rFonts w:ascii="仿宋" w:hAnsi="仿宋" w:eastAsia="仿宋" w:cs="宋体"/>
          <w:color w:val="000000"/>
        </w:rPr>
      </w:pPr>
      <w:r>
        <w:rPr>
          <w:rFonts w:ascii="仿宋" w:hAnsi="仿宋" w:eastAsia="仿宋" w:cs="宋体"/>
          <w:color w:val="000000"/>
        </w:rPr>
        <w:t xml:space="preserve">1. </w:t>
      </w:r>
      <w:r>
        <w:rPr>
          <w:rFonts w:hint="eastAsia" w:ascii="仿宋" w:hAnsi="仿宋" w:eastAsia="仿宋" w:cs="宋体"/>
          <w:b/>
          <w:color w:val="000000"/>
        </w:rPr>
        <w:t>一般违约类</w:t>
      </w:r>
      <w:r>
        <w:rPr>
          <w:rFonts w:hint="eastAsia" w:ascii="仿宋" w:hAnsi="仿宋" w:eastAsia="仿宋" w:cs="宋体"/>
          <w:color w:val="000000"/>
        </w:rPr>
        <w:t>。开具一般违约考核单，每项考核视情节严重违约金200-5</w:t>
      </w:r>
      <w:r>
        <w:rPr>
          <w:rFonts w:ascii="仿宋" w:hAnsi="仿宋" w:eastAsia="仿宋" w:cs="宋体"/>
          <w:color w:val="000000"/>
        </w:rPr>
        <w:t>00</w:t>
      </w:r>
      <w:r>
        <w:rPr>
          <w:rFonts w:hint="eastAsia" w:ascii="仿宋" w:hAnsi="仿宋" w:eastAsia="仿宋" w:cs="宋体"/>
          <w:color w:val="000000"/>
        </w:rPr>
        <w:t>元。</w:t>
      </w:r>
    </w:p>
    <w:p w14:paraId="05B3C7FD">
      <w:pPr>
        <w:snapToGrid w:val="0"/>
        <w:spacing w:line="400" w:lineRule="exact"/>
        <w:ind w:firstLine="480" w:firstLineChars="200"/>
        <w:outlineLvl w:val="0"/>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 xml:space="preserve">.1 </w:t>
      </w:r>
      <w:r>
        <w:rPr>
          <w:rFonts w:hint="eastAsia" w:ascii="仿宋" w:hAnsi="仿宋" w:eastAsia="仿宋" w:cs="宋体"/>
          <w:color w:val="000000"/>
        </w:rPr>
        <w:t>经营场所违反属地或铁路有关卫生、环保、税务、劳动保障、市场监管等法律法规、文件要求或被上述主管部门处罚的。</w:t>
      </w:r>
    </w:p>
    <w:p w14:paraId="05EC6523">
      <w:pPr>
        <w:snapToGrid w:val="0"/>
        <w:spacing w:line="400" w:lineRule="exact"/>
        <w:ind w:firstLine="480" w:firstLineChars="200"/>
        <w:outlineLvl w:val="0"/>
        <w:rPr>
          <w:rFonts w:ascii="仿宋" w:hAnsi="仿宋" w:eastAsia="仿宋" w:cs="宋体"/>
          <w:color w:val="000000"/>
        </w:rPr>
      </w:pPr>
      <w:r>
        <w:rPr>
          <w:rFonts w:ascii="仿宋" w:hAnsi="仿宋" w:eastAsia="仿宋" w:cs="宋体"/>
          <w:color w:val="000000"/>
        </w:rPr>
        <w:t xml:space="preserve">1.2 </w:t>
      </w:r>
      <w:r>
        <w:rPr>
          <w:rFonts w:hint="eastAsia" w:ascii="仿宋" w:hAnsi="仿宋" w:eastAsia="仿宋" w:cs="宋体"/>
          <w:color w:val="000000"/>
        </w:rPr>
        <w:t>经营场所被消费者通过1</w:t>
      </w:r>
      <w:r>
        <w:rPr>
          <w:rFonts w:ascii="仿宋" w:hAnsi="仿宋" w:eastAsia="仿宋" w:cs="宋体"/>
          <w:color w:val="000000"/>
        </w:rPr>
        <w:t>2306</w:t>
      </w:r>
      <w:r>
        <w:rPr>
          <w:rFonts w:hint="eastAsia" w:ascii="仿宋" w:hAnsi="仿宋" w:eastAsia="仿宋" w:cs="宋体"/>
          <w:color w:val="000000"/>
        </w:rPr>
        <w:t>、1</w:t>
      </w:r>
      <w:r>
        <w:rPr>
          <w:rFonts w:ascii="仿宋" w:hAnsi="仿宋" w:eastAsia="仿宋" w:cs="宋体"/>
          <w:color w:val="000000"/>
        </w:rPr>
        <w:t>2345</w:t>
      </w:r>
      <w:r>
        <w:rPr>
          <w:rFonts w:hint="eastAsia" w:ascii="仿宋" w:hAnsi="仿宋" w:eastAsia="仿宋" w:cs="宋体"/>
          <w:color w:val="000000"/>
        </w:rPr>
        <w:t>等进行商品和服务质量投诉，查证后问题属实的。</w:t>
      </w:r>
    </w:p>
    <w:p w14:paraId="496724F9">
      <w:pPr>
        <w:snapToGrid w:val="0"/>
        <w:spacing w:line="400" w:lineRule="exact"/>
        <w:ind w:firstLine="480" w:firstLineChars="200"/>
        <w:outlineLvl w:val="0"/>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 xml:space="preserve">.3 </w:t>
      </w:r>
      <w:r>
        <w:rPr>
          <w:rFonts w:hint="eastAsia" w:ascii="仿宋" w:hAnsi="仿宋" w:eastAsia="仿宋" w:cs="宋体"/>
          <w:color w:val="000000"/>
        </w:rPr>
        <w:t>经营场所未经铁路方批准擅自接受媒体采访的。</w:t>
      </w:r>
    </w:p>
    <w:p w14:paraId="7801AC11">
      <w:pPr>
        <w:snapToGrid w:val="0"/>
        <w:spacing w:line="400" w:lineRule="exact"/>
        <w:ind w:firstLine="480" w:firstLineChars="200"/>
        <w:outlineLvl w:val="0"/>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 xml:space="preserve">.4 </w:t>
      </w:r>
      <w:r>
        <w:rPr>
          <w:rFonts w:hint="eastAsia" w:ascii="仿宋" w:hAnsi="仿宋" w:eastAsia="仿宋" w:cs="宋体"/>
          <w:color w:val="000000"/>
        </w:rPr>
        <w:t>经营场所擅自增加经营品项，出售的商品未经甲方审核，超范围销售商品或销售铁路方确定的禁销商品的。</w:t>
      </w:r>
    </w:p>
    <w:p w14:paraId="28C8B652">
      <w:pPr>
        <w:snapToGrid w:val="0"/>
        <w:spacing w:line="400" w:lineRule="exact"/>
        <w:ind w:firstLine="480" w:firstLineChars="200"/>
        <w:outlineLvl w:val="0"/>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.5</w:t>
      </w:r>
      <w:r>
        <w:rPr>
          <w:rFonts w:hint="eastAsia" w:ascii="仿宋" w:hAnsi="仿宋" w:eastAsia="仿宋" w:cs="宋体"/>
          <w:color w:val="000000"/>
        </w:rPr>
        <w:t>擅自在经营场所内、门头增加广告宣传位、灯箱、非本企业广告牌的；擅自举办促销活动，播放促销或背景音乐；擅自改变经营场所门头形象及配套设施的。</w:t>
      </w:r>
    </w:p>
    <w:p w14:paraId="5021C037">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6</w:t>
      </w:r>
      <w:r>
        <w:rPr>
          <w:rFonts w:hint="eastAsia" w:ascii="仿宋" w:hAnsi="仿宋" w:eastAsia="仿宋" w:cs="宋体"/>
          <w:color w:val="000000"/>
        </w:rPr>
        <w:t>乙方不能提供有效的销售发票。</w:t>
      </w:r>
    </w:p>
    <w:p w14:paraId="088F5C7D">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7</w:t>
      </w:r>
      <w:r>
        <w:rPr>
          <w:rFonts w:hint="eastAsia" w:ascii="仿宋" w:hAnsi="仿宋" w:eastAsia="仿宋" w:cs="宋体"/>
          <w:color w:val="000000"/>
        </w:rPr>
        <w:t>禁烟管理。商家从业人员在车站商业网点内、配电室、储藏室、工具室等禁烟、禁火部位、场所吸烟。</w:t>
      </w:r>
    </w:p>
    <w:p w14:paraId="2E9B8771">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8</w:t>
      </w:r>
      <w:r>
        <w:rPr>
          <w:rFonts w:hint="eastAsia" w:ascii="仿宋" w:hAnsi="仿宋" w:eastAsia="仿宋" w:cs="宋体"/>
          <w:color w:val="000000"/>
        </w:rPr>
        <w:t>乙方待客粗暴，用语不规范，或与顾客发生争吵，产生不良后果。</w:t>
      </w:r>
    </w:p>
    <w:p w14:paraId="13FDAD62">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9</w:t>
      </w:r>
      <w:r>
        <w:rPr>
          <w:rFonts w:hint="eastAsia" w:ascii="仿宋" w:hAnsi="仿宋" w:eastAsia="仿宋" w:cs="宋体"/>
          <w:color w:val="000000"/>
        </w:rPr>
        <w:t>乙方未按属地要求执行垃圾分类管理不到位的。</w:t>
      </w:r>
    </w:p>
    <w:p w14:paraId="40F6A628">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1.1</w:t>
      </w:r>
      <w:r>
        <w:rPr>
          <w:rFonts w:ascii="仿宋" w:hAnsi="仿宋" w:eastAsia="仿宋" w:cs="宋体"/>
          <w:color w:val="000000"/>
        </w:rPr>
        <w:t>0</w:t>
      </w:r>
      <w:r>
        <w:rPr>
          <w:rFonts w:hint="eastAsia" w:ascii="仿宋" w:hAnsi="仿宋" w:eastAsia="仿宋" w:cs="宋体"/>
          <w:color w:val="000000"/>
        </w:rPr>
        <w:t>电器产品安装、使用或者电线路不符合消防技术标准的</w:t>
      </w:r>
      <w:r>
        <w:rPr>
          <w:rFonts w:ascii="仿宋" w:hAnsi="仿宋" w:eastAsia="仿宋" w:cs="宋体"/>
          <w:color w:val="000000"/>
        </w:rPr>
        <w:t>;</w:t>
      </w:r>
      <w:r>
        <w:rPr>
          <w:rFonts w:hint="eastAsia" w:ascii="仿宋" w:hAnsi="仿宋" w:eastAsia="仿宋" w:cs="宋体"/>
          <w:color w:val="000000"/>
        </w:rPr>
        <w:t>擅自乱拉、乱接电线，使用大功率的电器设备。</w:t>
      </w:r>
    </w:p>
    <w:p w14:paraId="1A9D7EAA">
      <w:pPr>
        <w:snapToGrid w:val="0"/>
        <w:spacing w:line="400" w:lineRule="exact"/>
        <w:ind w:firstLine="480" w:firstLineChars="200"/>
        <w:outlineLvl w:val="0"/>
        <w:rPr>
          <w:rFonts w:ascii="仿宋" w:hAnsi="仿宋" w:eastAsia="仿宋" w:cs="宋体"/>
          <w:color w:val="000000"/>
        </w:rPr>
      </w:pPr>
      <w:r>
        <w:rPr>
          <w:rFonts w:hint="eastAsia" w:ascii="仿宋" w:hAnsi="仿宋" w:eastAsia="仿宋" w:cs="宋体"/>
          <w:color w:val="000000"/>
        </w:rPr>
        <w:t>1.1</w:t>
      </w:r>
      <w:r>
        <w:rPr>
          <w:rFonts w:ascii="仿宋" w:hAnsi="仿宋" w:eastAsia="仿宋" w:cs="宋体"/>
          <w:color w:val="000000"/>
        </w:rPr>
        <w:t>1</w:t>
      </w:r>
      <w:r>
        <w:rPr>
          <w:rFonts w:hint="eastAsia" w:ascii="仿宋" w:hAnsi="仿宋" w:eastAsia="仿宋" w:cs="宋体"/>
          <w:color w:val="000000"/>
        </w:rPr>
        <w:t>施工人员未统一着装并佩戴出入证，进入施工现场，未戴安全帽，登高作业未佩戴安全带。在施工区域内喝酒、吸烟。</w:t>
      </w:r>
    </w:p>
    <w:p w14:paraId="13FCDACC">
      <w:pPr>
        <w:snapToGrid w:val="0"/>
        <w:spacing w:line="400" w:lineRule="exact"/>
        <w:ind w:firstLine="480" w:firstLineChars="200"/>
        <w:outlineLvl w:val="0"/>
        <w:rPr>
          <w:rFonts w:ascii="仿宋" w:hAnsi="仿宋" w:eastAsia="仿宋" w:cs="宋体"/>
          <w:color w:val="000000"/>
        </w:rPr>
      </w:pPr>
      <w:r>
        <w:rPr>
          <w:rFonts w:hint="eastAsia" w:ascii="仿宋" w:hAnsi="仿宋" w:eastAsia="仿宋" w:cs="宋体"/>
          <w:color w:val="000000"/>
        </w:rPr>
        <w:t>1.1</w:t>
      </w:r>
      <w:r>
        <w:rPr>
          <w:rFonts w:ascii="仿宋" w:hAnsi="仿宋" w:eastAsia="仿宋" w:cs="宋体"/>
          <w:color w:val="000000"/>
        </w:rPr>
        <w:t>2</w:t>
      </w:r>
      <w:r>
        <w:rPr>
          <w:rFonts w:hint="eastAsia" w:ascii="仿宋" w:hAnsi="仿宋" w:eastAsia="仿宋" w:cs="宋体"/>
          <w:color w:val="000000"/>
        </w:rPr>
        <w:t xml:space="preserve"> 其他涉及违反合同经营相关条款的事宜。</w:t>
      </w:r>
    </w:p>
    <w:p w14:paraId="54D47D8B">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w:t>
      </w:r>
      <w:r>
        <w:rPr>
          <w:rFonts w:ascii="仿宋" w:hAnsi="仿宋" w:eastAsia="仿宋" w:cs="宋体"/>
          <w:color w:val="000000"/>
        </w:rPr>
        <w:t>.</w:t>
      </w:r>
      <w:r>
        <w:rPr>
          <w:rFonts w:hint="eastAsia" w:ascii="仿宋" w:hAnsi="仿宋" w:eastAsia="仿宋" w:cs="宋体"/>
          <w:b/>
          <w:color w:val="000000"/>
        </w:rPr>
        <w:t>责令整改类</w:t>
      </w:r>
      <w:r>
        <w:rPr>
          <w:rFonts w:hint="eastAsia" w:ascii="仿宋" w:hAnsi="仿宋" w:eastAsia="仿宋" w:cs="宋体"/>
          <w:color w:val="000000"/>
        </w:rPr>
        <w:t>。开具违约整改考核单，每项考核视情节严重违约金700-</w:t>
      </w:r>
      <w:r>
        <w:rPr>
          <w:rFonts w:ascii="仿宋" w:hAnsi="仿宋" w:eastAsia="仿宋" w:cs="宋体"/>
          <w:color w:val="000000"/>
        </w:rPr>
        <w:t>1000</w:t>
      </w:r>
      <w:r>
        <w:rPr>
          <w:rFonts w:hint="eastAsia" w:ascii="仿宋" w:hAnsi="仿宋" w:eastAsia="仿宋" w:cs="宋体"/>
          <w:color w:val="000000"/>
        </w:rPr>
        <w:t>元。</w:t>
      </w:r>
    </w:p>
    <w:p w14:paraId="513AD183">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2.1经营场所违反属地或铁路有关卫生、环保、税务、劳动保障、市场监管等法律法规、文件要求产生严重不良影响的。</w:t>
      </w:r>
    </w:p>
    <w:p w14:paraId="599817D2">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2.2 经营场所违反属地或铁路有关消防、电气、反恐等安全层面法律法规或被上述主管部门处罚的。</w:t>
      </w:r>
    </w:p>
    <w:p w14:paraId="0883D8B8">
      <w:pPr>
        <w:snapToGrid w:val="0"/>
        <w:spacing w:line="400" w:lineRule="exact"/>
        <w:ind w:firstLine="480" w:firstLineChars="200"/>
        <w:rPr>
          <w:rFonts w:ascii="仿宋" w:hAnsi="仿宋" w:eastAsia="仿宋" w:cs="宋体"/>
          <w:color w:val="000000"/>
        </w:rPr>
      </w:pPr>
      <w:r>
        <w:rPr>
          <w:rFonts w:ascii="仿宋" w:hAnsi="仿宋" w:eastAsia="仿宋" w:cs="宋体"/>
          <w:color w:val="000000"/>
        </w:rPr>
        <w:t>2.</w:t>
      </w:r>
      <w:r>
        <w:rPr>
          <w:rFonts w:hint="eastAsia" w:ascii="仿宋" w:hAnsi="仿宋" w:eastAsia="仿宋" w:cs="宋体"/>
          <w:color w:val="000000"/>
        </w:rPr>
        <w:t>3经营场所未按铁路方要求进行装修设计，未按审定的施工图和设计方案实施，存在设计荷载超限值、无资质设计、无资质施工等问题。</w:t>
      </w:r>
    </w:p>
    <w:p w14:paraId="499E70DB">
      <w:pPr>
        <w:snapToGrid w:val="0"/>
        <w:spacing w:line="400" w:lineRule="exact"/>
        <w:ind w:firstLine="480" w:firstLineChars="200"/>
        <w:rPr>
          <w:rFonts w:ascii="仿宋" w:hAnsi="仿宋" w:eastAsia="仿宋" w:cs="宋体"/>
          <w:color w:val="000000"/>
        </w:rPr>
      </w:pPr>
      <w:r>
        <w:rPr>
          <w:rFonts w:ascii="仿宋" w:hAnsi="仿宋" w:eastAsia="仿宋" w:cs="宋体"/>
          <w:color w:val="000000"/>
        </w:rPr>
        <w:t>2.</w:t>
      </w:r>
      <w:r>
        <w:rPr>
          <w:rFonts w:hint="eastAsia" w:ascii="仿宋" w:hAnsi="仿宋" w:eastAsia="仿宋" w:cs="宋体"/>
          <w:color w:val="000000"/>
        </w:rPr>
        <w:t>4经营场所装修时设备、用材、施工现场管理等不符合铁路方规定，未做到文明施工，发生违规进材料、施工点抽烟、动火作业、无安全措施登高作业等现象。</w:t>
      </w:r>
    </w:p>
    <w:p w14:paraId="1A4EA280">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w:t>
      </w:r>
      <w:r>
        <w:rPr>
          <w:rFonts w:ascii="仿宋" w:hAnsi="仿宋" w:eastAsia="仿宋" w:cs="宋体"/>
          <w:color w:val="000000"/>
        </w:rPr>
        <w:t>.</w:t>
      </w:r>
      <w:r>
        <w:rPr>
          <w:rFonts w:hint="eastAsia" w:ascii="仿宋" w:hAnsi="仿宋" w:eastAsia="仿宋" w:cs="宋体"/>
          <w:color w:val="000000"/>
        </w:rPr>
        <w:t>5经营场所无证经营、无照经营、违反知识产权保护规定和超特许经营范围的。</w:t>
      </w:r>
    </w:p>
    <w:p w14:paraId="68FBC9CF">
      <w:pPr>
        <w:snapToGrid w:val="0"/>
        <w:spacing w:line="400" w:lineRule="exact"/>
        <w:ind w:firstLine="480" w:firstLineChars="200"/>
        <w:outlineLvl w:val="0"/>
        <w:rPr>
          <w:rFonts w:ascii="仿宋" w:hAnsi="仿宋" w:eastAsia="仿宋" w:cs="宋体"/>
          <w:color w:val="000000"/>
        </w:rPr>
      </w:pPr>
      <w:r>
        <w:rPr>
          <w:rFonts w:hint="eastAsia" w:ascii="仿宋" w:hAnsi="仿宋" w:eastAsia="仿宋" w:cs="宋体"/>
          <w:color w:val="000000"/>
        </w:rPr>
        <w:t>2.6经营场所违规经营，违反消防法律法规，电气安全管理不到位存在严重安全隐患，执行消防管理不到位或被上述主管部门处罚的。</w:t>
      </w:r>
    </w:p>
    <w:p w14:paraId="236019F8">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w:t>
      </w:r>
      <w:r>
        <w:rPr>
          <w:rFonts w:ascii="仿宋" w:hAnsi="仿宋" w:eastAsia="仿宋" w:cs="宋体"/>
          <w:color w:val="000000"/>
        </w:rPr>
        <w:t>7</w:t>
      </w:r>
      <w:r>
        <w:rPr>
          <w:rFonts w:hint="eastAsia" w:ascii="仿宋" w:hAnsi="仿宋" w:eastAsia="仿宋" w:cs="宋体"/>
          <w:color w:val="000000"/>
        </w:rPr>
        <w:t>乙方不按规定按时缴纳综合费用和相关费用的。</w:t>
      </w:r>
    </w:p>
    <w:p w14:paraId="790DAEB8">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w:t>
      </w:r>
      <w:r>
        <w:rPr>
          <w:rFonts w:ascii="仿宋" w:hAnsi="仿宋" w:eastAsia="仿宋" w:cs="宋体"/>
          <w:color w:val="000000"/>
        </w:rPr>
        <w:t>8</w:t>
      </w:r>
      <w:r>
        <w:rPr>
          <w:rFonts w:hint="eastAsia" w:ascii="仿宋" w:hAnsi="仿宋" w:eastAsia="仿宋" w:cs="宋体"/>
          <w:color w:val="000000"/>
        </w:rPr>
        <w:t>乙方未对消防设备做好检查、保养、检测、更换，不按规定开展安全检查的。</w:t>
      </w:r>
    </w:p>
    <w:p w14:paraId="4B0F0A64">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w:t>
      </w:r>
      <w:r>
        <w:rPr>
          <w:rFonts w:ascii="仿宋" w:hAnsi="仿宋" w:eastAsia="仿宋" w:cs="宋体"/>
          <w:color w:val="000000"/>
        </w:rPr>
        <w:t>9</w:t>
      </w:r>
      <w:r>
        <w:rPr>
          <w:rFonts w:hint="eastAsia" w:ascii="仿宋" w:hAnsi="仿宋" w:eastAsia="仿宋" w:cs="宋体"/>
          <w:color w:val="000000"/>
        </w:rPr>
        <w:t>施工人员擅自进入站台等行车区域。</w:t>
      </w:r>
    </w:p>
    <w:p w14:paraId="147E2232">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2.1</w:t>
      </w:r>
      <w:r>
        <w:rPr>
          <w:rFonts w:ascii="仿宋" w:hAnsi="仿宋" w:eastAsia="仿宋" w:cs="宋体"/>
          <w:color w:val="000000"/>
        </w:rPr>
        <w:t>0</w:t>
      </w:r>
      <w:r>
        <w:rPr>
          <w:rFonts w:hint="eastAsia" w:ascii="仿宋" w:hAnsi="仿宋" w:eastAsia="仿宋" w:cs="宋体"/>
          <w:color w:val="000000"/>
        </w:rPr>
        <w:t>乙方在经营过程中造成旅客人身伤害。</w:t>
      </w:r>
    </w:p>
    <w:p w14:paraId="14CDB5F6">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2.1</w:t>
      </w:r>
      <w:r>
        <w:rPr>
          <w:rFonts w:ascii="仿宋" w:hAnsi="仿宋" w:eastAsia="仿宋" w:cs="宋体"/>
          <w:color w:val="000000"/>
        </w:rPr>
        <w:t>1</w:t>
      </w:r>
      <w:r>
        <w:rPr>
          <w:rFonts w:hint="eastAsia" w:ascii="仿宋" w:hAnsi="仿宋" w:eastAsia="仿宋" w:cs="宋体"/>
          <w:color w:val="000000"/>
        </w:rPr>
        <w:t>其他违反合同相关条款事宜，存在严重安全隐患。</w:t>
      </w:r>
    </w:p>
    <w:p w14:paraId="4A037202">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w:t>
      </w:r>
      <w:r>
        <w:rPr>
          <w:rFonts w:ascii="仿宋" w:hAnsi="仿宋" w:eastAsia="仿宋" w:cs="宋体"/>
          <w:color w:val="000000"/>
        </w:rPr>
        <w:t>.</w:t>
      </w:r>
      <w:r>
        <w:rPr>
          <w:rFonts w:hint="eastAsia" w:ascii="仿宋" w:hAnsi="仿宋" w:eastAsia="仿宋" w:cs="宋体"/>
          <w:b/>
          <w:color w:val="000000"/>
        </w:rPr>
        <w:t>停业整顿类</w:t>
      </w:r>
      <w:r>
        <w:rPr>
          <w:rFonts w:hint="eastAsia" w:ascii="仿宋" w:hAnsi="仿宋" w:eastAsia="仿宋" w:cs="宋体"/>
          <w:color w:val="000000"/>
        </w:rPr>
        <w:t>。开具停业整顿考核单，每项考核视情节严重违约金2000-5</w:t>
      </w:r>
      <w:r>
        <w:rPr>
          <w:rFonts w:ascii="仿宋" w:hAnsi="仿宋" w:eastAsia="仿宋" w:cs="宋体"/>
          <w:color w:val="000000"/>
        </w:rPr>
        <w:t>000</w:t>
      </w:r>
      <w:r>
        <w:rPr>
          <w:rFonts w:hint="eastAsia" w:ascii="仿宋" w:hAnsi="仿宋" w:eastAsia="仿宋" w:cs="宋体"/>
          <w:color w:val="000000"/>
        </w:rPr>
        <w:t>元。</w:t>
      </w:r>
    </w:p>
    <w:p w14:paraId="6F989988">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3.1经营场所违反属地或铁路有关卫生、环保、税务、劳动保障、市场监管等法律法规、文件要求产生严重不良舆情事件，或者旅客食物中毒事件。</w:t>
      </w:r>
    </w:p>
    <w:p w14:paraId="2F139AA1">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3.2经营场所违反属地或铁路有关消防、电气、反恐等法律法规存在严重安全隐患。</w:t>
      </w:r>
    </w:p>
    <w:p w14:paraId="29D6F4C9">
      <w:pPr>
        <w:snapToGrid w:val="0"/>
        <w:spacing w:line="400" w:lineRule="exact"/>
        <w:ind w:firstLine="480" w:firstLineChars="200"/>
        <w:rPr>
          <w:rFonts w:ascii="仿宋" w:hAnsi="仿宋" w:eastAsia="仿宋" w:cs="宋体"/>
          <w:color w:val="000000"/>
        </w:rPr>
      </w:pPr>
      <w:r>
        <w:rPr>
          <w:rFonts w:ascii="仿宋" w:hAnsi="仿宋" w:eastAsia="仿宋" w:cs="宋体"/>
          <w:color w:val="000000"/>
        </w:rPr>
        <w:t>3.</w:t>
      </w:r>
      <w:r>
        <w:rPr>
          <w:rFonts w:hint="eastAsia" w:ascii="仿宋" w:hAnsi="仿宋" w:eastAsia="仿宋" w:cs="宋体"/>
          <w:color w:val="000000"/>
        </w:rPr>
        <w:t>3经营场所未经批准擅自装修或改动站房结构。</w:t>
      </w:r>
    </w:p>
    <w:p w14:paraId="56DD646A">
      <w:pPr>
        <w:snapToGrid w:val="0"/>
        <w:spacing w:line="400" w:lineRule="exact"/>
        <w:ind w:firstLine="480" w:firstLineChars="200"/>
        <w:rPr>
          <w:rFonts w:ascii="仿宋" w:hAnsi="仿宋" w:eastAsia="仿宋" w:cs="宋体"/>
          <w:color w:val="000000"/>
        </w:rPr>
      </w:pPr>
      <w:r>
        <w:rPr>
          <w:rFonts w:ascii="仿宋" w:hAnsi="仿宋" w:eastAsia="仿宋" w:cs="宋体"/>
          <w:color w:val="000000"/>
        </w:rPr>
        <w:t>3.</w:t>
      </w:r>
      <w:r>
        <w:rPr>
          <w:rFonts w:hint="eastAsia" w:ascii="仿宋" w:hAnsi="仿宋" w:eastAsia="仿宋" w:cs="宋体"/>
          <w:color w:val="000000"/>
        </w:rPr>
        <w:t>4经营场所装修后存在漏水、管道堵塞等隐患缺陷的。</w:t>
      </w:r>
    </w:p>
    <w:p w14:paraId="36B96692">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w:t>
      </w:r>
      <w:r>
        <w:rPr>
          <w:rFonts w:ascii="仿宋" w:hAnsi="仿宋" w:eastAsia="仿宋" w:cs="宋体"/>
          <w:color w:val="000000"/>
        </w:rPr>
        <w:t>.</w:t>
      </w:r>
      <w:r>
        <w:rPr>
          <w:rFonts w:hint="eastAsia" w:ascii="仿宋" w:hAnsi="仿宋" w:eastAsia="仿宋" w:cs="宋体"/>
          <w:color w:val="000000"/>
        </w:rPr>
        <w:t>5经营场所擅自调整经营品牌和经营业态的。</w:t>
      </w:r>
    </w:p>
    <w:p w14:paraId="72E74E8F">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3.6乙方未按时缴纳综合服务费，逾期1个月以上。</w:t>
      </w:r>
    </w:p>
    <w:p w14:paraId="70D788F5">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3.7经营场所装修施工完毕，未经消防验收或者消防验收不合格，擅自投入使用的。经营场所投入使用后经公安机关消防机构依法抽查不合格，不停止使用的。</w:t>
      </w:r>
    </w:p>
    <w:p w14:paraId="28EF396D">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3.8其他违反合同相关条款事宜，对铁路安全造成影响的，或较大经营损失的。</w:t>
      </w:r>
    </w:p>
    <w:p w14:paraId="1FFED421">
      <w:pPr>
        <w:snapToGrid w:val="0"/>
        <w:spacing w:line="400" w:lineRule="exact"/>
        <w:ind w:firstLine="480" w:firstLineChars="200"/>
        <w:rPr>
          <w:rFonts w:eastAsia="仿宋"/>
          <w:color w:val="000000"/>
        </w:rPr>
      </w:pPr>
      <w:r>
        <w:rPr>
          <w:rFonts w:hint="eastAsia" w:ascii="仿宋" w:hAnsi="仿宋" w:eastAsia="仿宋" w:cs="宋体"/>
          <w:color w:val="000000"/>
        </w:rPr>
        <w:t>3.9擅自超出经营区域，存在至车站其他区域内拉客、销售、推销及其他影响客运服务、违反站内治安管理要求等行为的。</w:t>
      </w:r>
    </w:p>
    <w:p w14:paraId="5D652C98">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w:t>
      </w:r>
      <w:r>
        <w:rPr>
          <w:rFonts w:ascii="仿宋" w:hAnsi="仿宋" w:eastAsia="仿宋" w:cs="宋体"/>
          <w:color w:val="000000"/>
        </w:rPr>
        <w:t>.</w:t>
      </w:r>
      <w:r>
        <w:rPr>
          <w:rFonts w:hint="eastAsia" w:ascii="仿宋" w:hAnsi="仿宋" w:eastAsia="仿宋" w:cs="宋体"/>
          <w:b/>
          <w:color w:val="000000"/>
        </w:rPr>
        <w:t>终止合同类</w:t>
      </w:r>
      <w:r>
        <w:rPr>
          <w:rFonts w:hint="eastAsia" w:ascii="仿宋" w:hAnsi="仿宋" w:eastAsia="仿宋" w:cs="宋体"/>
          <w:color w:val="000000"/>
        </w:rPr>
        <w:t>。开具终止经营通知书，全额扣除履约保证金作为违约金。</w:t>
      </w:r>
    </w:p>
    <w:p w14:paraId="37DE441F">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4.1经营期间发生严重食品卫生安全事故，造成旅客食物中毒，造成严重社会不良影响的。</w:t>
      </w:r>
    </w:p>
    <w:p w14:paraId="118E2AC7">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4.2经营期间发生严重用电、消防安全事故。</w:t>
      </w:r>
    </w:p>
    <w:p w14:paraId="724834F0">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w:t>
      </w:r>
      <w:r>
        <w:rPr>
          <w:rFonts w:ascii="仿宋" w:hAnsi="仿宋" w:eastAsia="仿宋" w:cs="宋体"/>
          <w:color w:val="000000"/>
        </w:rPr>
        <w:t>3</w:t>
      </w:r>
      <w:r>
        <w:rPr>
          <w:rFonts w:hint="eastAsia" w:ascii="仿宋" w:hAnsi="仿宋" w:eastAsia="仿宋" w:cs="宋体"/>
          <w:color w:val="000000"/>
        </w:rPr>
        <w:t>乙方未按时缴纳综合服务费，逾期3个月以上。</w:t>
      </w:r>
    </w:p>
    <w:p w14:paraId="5EB678E9">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w:t>
      </w:r>
      <w:r>
        <w:rPr>
          <w:rFonts w:ascii="仿宋" w:hAnsi="仿宋" w:eastAsia="仿宋" w:cs="宋体"/>
          <w:color w:val="000000"/>
        </w:rPr>
        <w:t>4</w:t>
      </w:r>
      <w:r>
        <w:rPr>
          <w:rFonts w:hint="eastAsia" w:ascii="仿宋" w:hAnsi="仿宋" w:eastAsia="仿宋" w:cs="宋体"/>
          <w:color w:val="000000"/>
        </w:rPr>
        <w:t>其他严重违反合同条款，产生安全事故，对甲方造成重大损失。</w:t>
      </w:r>
    </w:p>
    <w:p w14:paraId="59137062">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4.5三次及以上违反违约条款，经考核仍不整改的。</w:t>
      </w:r>
    </w:p>
    <w:p w14:paraId="774B9E1E">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二、违约认定和追究程序</w:t>
      </w:r>
    </w:p>
    <w:p w14:paraId="78F75326">
      <w:pPr>
        <w:snapToGrid w:val="0"/>
        <w:spacing w:line="400" w:lineRule="exact"/>
        <w:ind w:firstLine="480" w:firstLineChars="200"/>
        <w:rPr>
          <w:rFonts w:ascii="仿宋" w:hAnsi="仿宋" w:eastAsia="仿宋" w:cs="宋体"/>
          <w:color w:val="000000"/>
        </w:rPr>
      </w:pPr>
      <w:r>
        <w:rPr>
          <w:rFonts w:ascii="仿宋" w:hAnsi="仿宋" w:eastAsia="仿宋" w:cs="宋体"/>
          <w:color w:val="000000"/>
        </w:rPr>
        <w:t>1</w:t>
      </w:r>
      <w:r>
        <w:rPr>
          <w:rFonts w:hint="eastAsia" w:ascii="仿宋" w:hAnsi="仿宋" w:eastAsia="仿宋" w:cs="宋体"/>
          <w:color w:val="000000"/>
        </w:rPr>
        <w:t>．检查人员发现问题并指正。</w:t>
      </w:r>
    </w:p>
    <w:p w14:paraId="179E2101">
      <w:pPr>
        <w:snapToGrid w:val="0"/>
        <w:spacing w:line="400" w:lineRule="exact"/>
        <w:ind w:firstLine="480" w:firstLineChars="200"/>
        <w:rPr>
          <w:rFonts w:ascii="仿宋" w:hAnsi="仿宋" w:eastAsia="仿宋" w:cs="宋体"/>
          <w:color w:val="000000"/>
        </w:rPr>
      </w:pPr>
      <w:r>
        <w:rPr>
          <w:rFonts w:ascii="仿宋" w:hAnsi="仿宋" w:eastAsia="仿宋" w:cs="宋体"/>
          <w:color w:val="000000"/>
        </w:rPr>
        <w:t>2</w:t>
      </w:r>
      <w:r>
        <w:rPr>
          <w:rFonts w:hint="eastAsia" w:ascii="仿宋" w:hAnsi="仿宋" w:eastAsia="仿宋" w:cs="宋体"/>
          <w:color w:val="000000"/>
        </w:rPr>
        <w:t>．检查人员对现场违规现象当场取证（拍照等）。</w:t>
      </w:r>
    </w:p>
    <w:p w14:paraId="132C0D37">
      <w:pPr>
        <w:snapToGrid w:val="0"/>
        <w:spacing w:line="400" w:lineRule="exact"/>
        <w:ind w:firstLine="480" w:firstLineChars="200"/>
        <w:rPr>
          <w:rFonts w:ascii="仿宋" w:hAnsi="仿宋" w:eastAsia="仿宋" w:cs="宋体"/>
          <w:color w:val="000000"/>
        </w:rPr>
      </w:pPr>
      <w:r>
        <w:rPr>
          <w:rFonts w:ascii="仿宋" w:hAnsi="仿宋" w:eastAsia="仿宋" w:cs="宋体"/>
          <w:color w:val="000000"/>
        </w:rPr>
        <w:t>3</w:t>
      </w:r>
      <w:r>
        <w:rPr>
          <w:rFonts w:hint="eastAsia" w:ascii="仿宋" w:hAnsi="仿宋" w:eastAsia="仿宋" w:cs="宋体"/>
          <w:color w:val="000000"/>
        </w:rPr>
        <w:t>．店铺负责人或现场管理人员在检查记录单上签字确认，收取违约告知单或整改通知单。</w:t>
      </w:r>
    </w:p>
    <w:p w14:paraId="4B077F94">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4．违约认定和追究。“一般违约”、“责令整改”可由营业部及以上部门确认执行；“停业整顿”由子分公司及以上确认执行；“终止合同”上铁文旅传媒集团公司确认。</w:t>
      </w:r>
    </w:p>
    <w:p w14:paraId="343C444B">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五、有关规定</w:t>
      </w:r>
    </w:p>
    <w:p w14:paraId="7D517486">
      <w:pPr>
        <w:snapToGrid w:val="0"/>
        <w:spacing w:line="400" w:lineRule="exact"/>
        <w:ind w:firstLine="480" w:firstLineChars="200"/>
        <w:rPr>
          <w:rFonts w:ascii="仿宋" w:hAnsi="仿宋" w:eastAsia="仿宋" w:cs="宋体"/>
          <w:color w:val="000000"/>
        </w:rPr>
      </w:pPr>
      <w:r>
        <w:rPr>
          <w:rFonts w:ascii="仿宋" w:hAnsi="仿宋" w:eastAsia="仿宋" w:cs="宋体"/>
          <w:color w:val="000000"/>
        </w:rPr>
        <w:t>1</w:t>
      </w:r>
      <w:r>
        <w:rPr>
          <w:rFonts w:hint="eastAsia" w:ascii="仿宋" w:hAnsi="仿宋" w:eastAsia="仿宋" w:cs="宋体"/>
          <w:color w:val="000000"/>
        </w:rPr>
        <w:t>．本公约适用于对乙方的违约进行认定和追究。</w:t>
      </w:r>
    </w:p>
    <w:p w14:paraId="3D7F09BD">
      <w:pPr>
        <w:snapToGrid w:val="0"/>
        <w:spacing w:line="400" w:lineRule="exact"/>
        <w:ind w:firstLine="480" w:firstLineChars="200"/>
        <w:rPr>
          <w:rFonts w:ascii="仿宋" w:hAnsi="仿宋" w:eastAsia="仿宋" w:cs="宋体"/>
          <w:color w:val="000000"/>
        </w:rPr>
      </w:pPr>
      <w:r>
        <w:rPr>
          <w:rFonts w:ascii="仿宋" w:hAnsi="仿宋" w:eastAsia="仿宋" w:cs="宋体"/>
          <w:color w:val="000000"/>
        </w:rPr>
        <w:t>2</w:t>
      </w:r>
      <w:r>
        <w:rPr>
          <w:rFonts w:hint="eastAsia" w:ascii="仿宋" w:hAnsi="仿宋" w:eastAsia="仿宋" w:cs="宋体"/>
          <w:color w:val="000000"/>
        </w:rPr>
        <w:t>．本公约中的违约责任约定，如合同有约定的按合同约定执行，合同未约定的按本公约约定执行。</w:t>
      </w:r>
    </w:p>
    <w:p w14:paraId="4D835BCA">
      <w:pPr>
        <w:snapToGrid w:val="0"/>
        <w:spacing w:line="400" w:lineRule="exact"/>
        <w:ind w:firstLine="480" w:firstLineChars="200"/>
        <w:rPr>
          <w:rFonts w:ascii="仿宋" w:hAnsi="仿宋" w:eastAsia="仿宋" w:cs="宋体"/>
          <w:color w:val="000000"/>
        </w:rPr>
      </w:pPr>
      <w:r>
        <w:rPr>
          <w:rFonts w:ascii="仿宋" w:hAnsi="仿宋" w:eastAsia="仿宋" w:cs="宋体"/>
          <w:color w:val="000000"/>
        </w:rPr>
        <w:t>3</w:t>
      </w:r>
      <w:r>
        <w:rPr>
          <w:rFonts w:hint="eastAsia" w:ascii="仿宋" w:hAnsi="仿宋" w:eastAsia="仿宋" w:cs="宋体"/>
          <w:color w:val="000000"/>
        </w:rPr>
        <w:t>．违约金必须在五个工作日内由违约方主动认缴，收缴的违约金按财务规定办理。</w:t>
      </w:r>
    </w:p>
    <w:p w14:paraId="3475A1B6">
      <w:pPr>
        <w:snapToGrid w:val="0"/>
        <w:spacing w:line="400" w:lineRule="exact"/>
        <w:ind w:firstLine="480" w:firstLineChars="200"/>
        <w:rPr>
          <w:rFonts w:ascii="仿宋" w:hAnsi="仿宋" w:eastAsia="仿宋" w:cs="宋体"/>
          <w:color w:val="000000"/>
        </w:rPr>
      </w:pPr>
    </w:p>
    <w:p w14:paraId="63FAD635">
      <w:pPr>
        <w:snapToGrid w:val="0"/>
        <w:spacing w:line="400" w:lineRule="exact"/>
        <w:ind w:firstLine="480" w:firstLineChars="200"/>
        <w:rPr>
          <w:rFonts w:ascii="仿宋" w:hAnsi="仿宋" w:eastAsia="仿宋" w:cs="宋体"/>
          <w:color w:val="000000"/>
        </w:rPr>
      </w:pPr>
    </w:p>
    <w:p w14:paraId="58ADE0FB">
      <w:pPr>
        <w:snapToGrid w:val="0"/>
        <w:spacing w:line="400" w:lineRule="exact"/>
        <w:ind w:firstLine="480" w:firstLineChars="200"/>
        <w:rPr>
          <w:rFonts w:ascii="仿宋" w:hAnsi="仿宋" w:eastAsia="仿宋" w:cs="宋体"/>
          <w:color w:val="000000"/>
        </w:rPr>
      </w:pPr>
    </w:p>
    <w:p w14:paraId="1FE2B4AF">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甲方</w:t>
      </w:r>
      <w:r>
        <w:rPr>
          <w:rFonts w:ascii="仿宋" w:hAnsi="仿宋" w:eastAsia="仿宋" w:cs="宋体"/>
          <w:color w:val="000000"/>
        </w:rPr>
        <w:t>(</w:t>
      </w:r>
      <w:r>
        <w:rPr>
          <w:rFonts w:hint="eastAsia" w:ascii="仿宋" w:hAnsi="仿宋" w:eastAsia="仿宋" w:cs="宋体"/>
          <w:color w:val="000000"/>
        </w:rPr>
        <w:t>盖章</w:t>
      </w:r>
      <w:r>
        <w:rPr>
          <w:rFonts w:ascii="仿宋" w:hAnsi="仿宋" w:eastAsia="仿宋" w:cs="宋体"/>
          <w:color w:val="000000"/>
        </w:rPr>
        <w:t xml:space="preserve">):                         </w:t>
      </w:r>
      <w:r>
        <w:rPr>
          <w:rFonts w:hint="eastAsia" w:ascii="仿宋" w:hAnsi="仿宋" w:eastAsia="仿宋" w:cs="宋体"/>
          <w:color w:val="000000"/>
        </w:rPr>
        <w:t>乙方</w:t>
      </w:r>
      <w:r>
        <w:rPr>
          <w:rFonts w:ascii="仿宋" w:hAnsi="仿宋" w:eastAsia="仿宋" w:cs="宋体"/>
          <w:color w:val="000000"/>
        </w:rPr>
        <w:t>(</w:t>
      </w:r>
      <w:r>
        <w:rPr>
          <w:rFonts w:hint="eastAsia" w:ascii="仿宋" w:hAnsi="仿宋" w:eastAsia="仿宋" w:cs="宋体"/>
          <w:color w:val="000000"/>
        </w:rPr>
        <w:t>盖章</w:t>
      </w:r>
      <w:r>
        <w:rPr>
          <w:rFonts w:ascii="仿宋" w:hAnsi="仿宋" w:eastAsia="仿宋" w:cs="宋体"/>
          <w:color w:val="000000"/>
        </w:rPr>
        <w:t>):</w:t>
      </w:r>
    </w:p>
    <w:p w14:paraId="33792FAB">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法定代表人或委托人</w:t>
      </w:r>
      <w:r>
        <w:rPr>
          <w:rFonts w:ascii="仿宋" w:hAnsi="仿宋" w:eastAsia="仿宋" w:cs="宋体"/>
          <w:color w:val="000000"/>
        </w:rPr>
        <w:t xml:space="preserve">:                   </w:t>
      </w:r>
      <w:r>
        <w:rPr>
          <w:rFonts w:hint="eastAsia" w:ascii="仿宋" w:hAnsi="仿宋" w:eastAsia="仿宋" w:cs="宋体"/>
          <w:color w:val="000000"/>
        </w:rPr>
        <w:t>法定代表人或委托人</w:t>
      </w:r>
      <w:r>
        <w:rPr>
          <w:rFonts w:ascii="仿宋" w:hAnsi="仿宋" w:eastAsia="仿宋" w:cs="宋体"/>
          <w:color w:val="000000"/>
        </w:rPr>
        <w:t>:</w:t>
      </w:r>
    </w:p>
    <w:p w14:paraId="2BDF8776">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日期</w:t>
      </w:r>
      <w:r>
        <w:rPr>
          <w:rFonts w:ascii="仿宋" w:hAnsi="仿宋" w:eastAsia="仿宋" w:cs="宋体"/>
          <w:color w:val="000000"/>
        </w:rPr>
        <w:t xml:space="preserve">:                                 </w:t>
      </w:r>
      <w:r>
        <w:rPr>
          <w:rFonts w:hint="eastAsia" w:ascii="仿宋" w:hAnsi="仿宋" w:eastAsia="仿宋" w:cs="宋体"/>
          <w:color w:val="000000"/>
        </w:rPr>
        <w:t>日期</w:t>
      </w:r>
      <w:r>
        <w:rPr>
          <w:rFonts w:ascii="仿宋" w:hAnsi="仿宋" w:eastAsia="仿宋" w:cs="宋体"/>
          <w:color w:val="000000"/>
        </w:rPr>
        <w:t>:</w:t>
      </w:r>
    </w:p>
    <w:p w14:paraId="5613F57B">
      <w:pPr>
        <w:snapToGrid w:val="0"/>
        <w:spacing w:line="400" w:lineRule="exact"/>
        <w:ind w:firstLine="480" w:firstLineChars="200"/>
        <w:rPr>
          <w:rFonts w:ascii="仿宋" w:hAnsi="仿宋" w:eastAsia="仿宋" w:cs="宋体"/>
          <w:color w:val="000000"/>
        </w:rPr>
      </w:pPr>
    </w:p>
    <w:p w14:paraId="27BB99B5">
      <w:pPr>
        <w:spacing w:line="400" w:lineRule="exact"/>
        <w:ind w:firstLine="560" w:firstLineChars="200"/>
        <w:rPr>
          <w:rFonts w:ascii="仿宋" w:hAnsi="仿宋" w:eastAsia="仿宋" w:cs="宋体"/>
          <w:color w:val="000000"/>
          <w:sz w:val="28"/>
        </w:rPr>
      </w:pPr>
      <w:r>
        <w:rPr>
          <w:rFonts w:hint="eastAsia" w:ascii="仿宋" w:hAnsi="仿宋" w:eastAsia="仿宋" w:cs="宋体"/>
          <w:color w:val="000000"/>
          <w:sz w:val="28"/>
        </w:rPr>
        <w:br w:type="page"/>
      </w:r>
      <w:r>
        <w:rPr>
          <w:rFonts w:hint="eastAsia" w:ascii="仿宋" w:hAnsi="仿宋" w:eastAsia="仿宋" w:cs="宋体"/>
          <w:color w:val="000000"/>
          <w:sz w:val="28"/>
        </w:rPr>
        <w:t>附件3：</w:t>
      </w:r>
    </w:p>
    <w:p w14:paraId="5A959172">
      <w:pPr>
        <w:spacing w:line="400" w:lineRule="exact"/>
        <w:ind w:firstLine="643" w:firstLineChars="200"/>
        <w:jc w:val="center"/>
        <w:rPr>
          <w:rFonts w:ascii="仿宋" w:hAnsi="仿宋" w:eastAsia="仿宋" w:cs="仿宋"/>
          <w:b/>
          <w:bCs/>
          <w:color w:val="000000"/>
          <w:sz w:val="32"/>
          <w:szCs w:val="28"/>
        </w:rPr>
      </w:pPr>
      <w:r>
        <w:rPr>
          <w:rFonts w:hint="eastAsia" w:ascii="仿宋" w:hAnsi="仿宋" w:eastAsia="仿宋" w:cs="仿宋"/>
          <w:b/>
          <w:bCs/>
          <w:color w:val="000000"/>
          <w:sz w:val="32"/>
          <w:szCs w:val="28"/>
        </w:rPr>
        <w:t>廉政协议书</w:t>
      </w:r>
    </w:p>
    <w:p w14:paraId="4F2AF75E">
      <w:pPr>
        <w:spacing w:line="400" w:lineRule="exact"/>
        <w:ind w:firstLine="560" w:firstLineChars="200"/>
        <w:rPr>
          <w:rFonts w:ascii="仿宋" w:hAnsi="仿宋" w:eastAsia="仿宋" w:cs="仿宋"/>
          <w:color w:val="000000"/>
          <w:sz w:val="28"/>
          <w:szCs w:val="28"/>
        </w:rPr>
      </w:pPr>
    </w:p>
    <w:p w14:paraId="46D877AF">
      <w:pPr>
        <w:spacing w:line="400" w:lineRule="exact"/>
        <w:ind w:firstLine="480" w:firstLineChars="200"/>
        <w:rPr>
          <w:rFonts w:ascii="仿宋" w:hAnsi="仿宋" w:eastAsia="仿宋" w:cs="仿宋"/>
          <w:bCs/>
          <w:color w:val="000000"/>
        </w:rPr>
      </w:pPr>
      <w:r>
        <w:rPr>
          <w:rFonts w:hint="eastAsia" w:ascii="仿宋" w:hAnsi="仿宋" w:eastAsia="仿宋" w:cs="仿宋"/>
          <w:bCs/>
          <w:color w:val="000000"/>
        </w:rPr>
        <w:t xml:space="preserve">甲方： </w:t>
      </w:r>
    </w:p>
    <w:p w14:paraId="0804C486">
      <w:pPr>
        <w:spacing w:line="400" w:lineRule="exact"/>
        <w:ind w:firstLine="480" w:firstLineChars="200"/>
        <w:rPr>
          <w:rFonts w:ascii="仿宋" w:hAnsi="仿宋" w:eastAsia="仿宋" w:cs="仿宋"/>
          <w:color w:val="000000"/>
          <w:sz w:val="28"/>
          <w:szCs w:val="28"/>
        </w:rPr>
      </w:pPr>
      <w:r>
        <w:rPr>
          <w:rFonts w:hint="eastAsia" w:ascii="仿宋" w:hAnsi="仿宋" w:eastAsia="仿宋" w:cs="仿宋"/>
          <w:bCs/>
          <w:color w:val="000000"/>
        </w:rPr>
        <w:t>乙方：</w:t>
      </w:r>
    </w:p>
    <w:p w14:paraId="24BAD180">
      <w:pPr>
        <w:spacing w:line="400" w:lineRule="exact"/>
        <w:ind w:firstLine="560" w:firstLineChars="200"/>
        <w:rPr>
          <w:rFonts w:ascii="仿宋" w:hAnsi="仿宋" w:eastAsia="仿宋" w:cs="仿宋"/>
          <w:color w:val="000000"/>
          <w:sz w:val="28"/>
          <w:szCs w:val="28"/>
        </w:rPr>
      </w:pPr>
    </w:p>
    <w:p w14:paraId="31793C0D">
      <w:pPr>
        <w:spacing w:line="400" w:lineRule="exact"/>
        <w:ind w:firstLine="480" w:firstLineChars="200"/>
        <w:rPr>
          <w:rFonts w:ascii="仿宋" w:hAnsi="仿宋" w:eastAsia="仿宋" w:cs="仿宋"/>
          <w:color w:val="000000"/>
        </w:rPr>
      </w:pPr>
      <w:r>
        <w:rPr>
          <w:rFonts w:hint="eastAsia" w:ascii="仿宋" w:hAnsi="仿宋" w:eastAsia="仿宋" w:cs="仿宋"/>
          <w:color w:val="000000"/>
        </w:rPr>
        <w:t>为加强的廉政建设，规范、约束双方的行为，防止发生违反廉洁规定及违法违纪的行为，双方同意在签订《铁路经营场所综合服务合同》（以下简称《合同》）的同时签订本廉政协议：</w:t>
      </w:r>
    </w:p>
    <w:p w14:paraId="168D61D0">
      <w:pPr>
        <w:spacing w:line="400" w:lineRule="exact"/>
        <w:ind w:firstLine="480" w:firstLineChars="200"/>
        <w:rPr>
          <w:rFonts w:ascii="仿宋" w:hAnsi="仿宋" w:eastAsia="仿宋" w:cs="仿宋"/>
          <w:color w:val="000000"/>
        </w:rPr>
      </w:pPr>
      <w:r>
        <w:rPr>
          <w:rFonts w:hint="eastAsia" w:ascii="仿宋" w:hAnsi="仿宋" w:eastAsia="仿宋" w:cs="仿宋"/>
          <w:color w:val="000000"/>
        </w:rPr>
        <w:t>一、双方的权利和义务</w:t>
      </w:r>
    </w:p>
    <w:p w14:paraId="1F8A39C7">
      <w:pPr>
        <w:spacing w:line="400" w:lineRule="exact"/>
        <w:ind w:firstLine="480" w:firstLineChars="200"/>
        <w:rPr>
          <w:rFonts w:ascii="仿宋" w:hAnsi="仿宋" w:eastAsia="仿宋" w:cs="仿宋"/>
          <w:color w:val="000000"/>
        </w:rPr>
      </w:pPr>
      <w:r>
        <w:rPr>
          <w:rFonts w:hint="eastAsia" w:ascii="仿宋" w:hAnsi="仿宋" w:eastAsia="仿宋" w:cs="仿宋"/>
          <w:color w:val="000000"/>
        </w:rPr>
        <w:t>⒈严格遵守国家、所在省市有关法律法规的规定。</w:t>
      </w:r>
    </w:p>
    <w:p w14:paraId="07BDB18D">
      <w:pPr>
        <w:spacing w:line="400" w:lineRule="exact"/>
        <w:ind w:firstLine="480" w:firstLineChars="200"/>
        <w:rPr>
          <w:rFonts w:ascii="仿宋" w:hAnsi="仿宋" w:eastAsia="仿宋" w:cs="仿宋"/>
          <w:color w:val="000000"/>
        </w:rPr>
      </w:pPr>
      <w:r>
        <w:rPr>
          <w:rFonts w:hint="eastAsia" w:ascii="仿宋" w:hAnsi="仿宋" w:eastAsia="仿宋" w:cs="仿宋"/>
          <w:color w:val="000000"/>
        </w:rPr>
        <w:t>⒉严格执行《合同》相关文件，自觉按合同办事。</w:t>
      </w:r>
    </w:p>
    <w:p w14:paraId="2733EEC8">
      <w:pPr>
        <w:spacing w:line="400" w:lineRule="exact"/>
        <w:ind w:firstLine="480" w:firstLineChars="200"/>
        <w:rPr>
          <w:rFonts w:ascii="仿宋" w:hAnsi="仿宋" w:eastAsia="仿宋" w:cs="仿宋"/>
          <w:color w:val="000000"/>
        </w:rPr>
      </w:pPr>
      <w:r>
        <w:rPr>
          <w:rFonts w:hint="eastAsia" w:ascii="仿宋" w:hAnsi="仿宋" w:eastAsia="仿宋" w:cs="仿宋"/>
          <w:color w:val="000000"/>
        </w:rPr>
        <w:t>⒊《合同》双方当事人的业务活动应坚持公平、公开、公正和诚信的原则（法律认定的商业机密和合同文件另有规定除外），不得损害国家和集体利益。</w:t>
      </w:r>
    </w:p>
    <w:p w14:paraId="0E0FE0E5">
      <w:pPr>
        <w:spacing w:line="400" w:lineRule="exact"/>
        <w:ind w:firstLine="480" w:firstLineChars="200"/>
        <w:rPr>
          <w:rFonts w:ascii="仿宋" w:hAnsi="仿宋" w:eastAsia="仿宋" w:cs="仿宋"/>
          <w:color w:val="000000"/>
        </w:rPr>
      </w:pPr>
      <w:r>
        <w:rPr>
          <w:rFonts w:hint="eastAsia" w:ascii="仿宋" w:hAnsi="仿宋" w:eastAsia="仿宋" w:cs="仿宋"/>
          <w:color w:val="000000"/>
        </w:rPr>
        <w:t>⒋建立健全廉政机制，公布举报电话，监督并认真查处违法违纪行为。</w:t>
      </w:r>
    </w:p>
    <w:p w14:paraId="269E7F5E">
      <w:pPr>
        <w:spacing w:line="400" w:lineRule="exact"/>
        <w:ind w:firstLine="480" w:firstLineChars="200"/>
        <w:rPr>
          <w:rFonts w:ascii="仿宋" w:hAnsi="仿宋" w:eastAsia="仿宋" w:cs="仿宋"/>
          <w:color w:val="000000"/>
        </w:rPr>
      </w:pPr>
      <w:r>
        <w:rPr>
          <w:rFonts w:hint="eastAsia" w:ascii="仿宋" w:hAnsi="仿宋" w:eastAsia="仿宋" w:cs="仿宋"/>
          <w:color w:val="000000"/>
        </w:rPr>
        <w:t>⒌发现对方在业务活动中有违反廉政建设规定行为，应及时给予提醒和纠正。</w:t>
      </w:r>
    </w:p>
    <w:p w14:paraId="2B9C8474">
      <w:pPr>
        <w:spacing w:line="400" w:lineRule="exact"/>
        <w:ind w:firstLine="480" w:firstLineChars="200"/>
        <w:rPr>
          <w:rFonts w:ascii="仿宋" w:hAnsi="仿宋" w:eastAsia="仿宋" w:cs="仿宋"/>
          <w:color w:val="000000"/>
        </w:rPr>
      </w:pPr>
      <w:r>
        <w:rPr>
          <w:rFonts w:hint="eastAsia" w:ascii="仿宋" w:hAnsi="仿宋" w:eastAsia="仿宋" w:cs="仿宋"/>
          <w:color w:val="000000"/>
        </w:rPr>
        <w:t>二、甲方义务</w:t>
      </w:r>
    </w:p>
    <w:p w14:paraId="50A3D353">
      <w:pPr>
        <w:spacing w:line="400" w:lineRule="exact"/>
        <w:ind w:firstLine="480" w:firstLineChars="200"/>
        <w:rPr>
          <w:rFonts w:ascii="仿宋" w:hAnsi="仿宋" w:eastAsia="仿宋" w:cs="仿宋"/>
          <w:color w:val="000000"/>
        </w:rPr>
      </w:pPr>
      <w:r>
        <w:rPr>
          <w:rFonts w:hint="eastAsia" w:ascii="仿宋" w:hAnsi="仿宋" w:eastAsia="仿宋" w:cs="仿宋"/>
          <w:color w:val="000000"/>
        </w:rPr>
        <w:t>⒈不向乙方索取或接受乙方在《合同》约定以外的费用（含礼金、有价证券、支付凭证）和贵重礼品等，不得在乙方报销应由甲方及其工作人员个人支付的费用。</w:t>
      </w:r>
    </w:p>
    <w:p w14:paraId="4FEB0567">
      <w:pPr>
        <w:spacing w:line="400" w:lineRule="exact"/>
        <w:ind w:firstLine="480" w:firstLineChars="200"/>
        <w:rPr>
          <w:rFonts w:ascii="仿宋" w:hAnsi="仿宋" w:eastAsia="仿宋" w:cs="仿宋"/>
          <w:color w:val="000000"/>
        </w:rPr>
      </w:pPr>
      <w:r>
        <w:rPr>
          <w:rFonts w:hint="eastAsia" w:ascii="仿宋" w:hAnsi="仿宋" w:eastAsia="仿宋" w:cs="仿宋"/>
          <w:color w:val="000000"/>
        </w:rPr>
        <w:t>⒉不接受乙方提供的公款旅游和高消费健身、娱乐等活动，不参加乙方组织的有可能影响公正履行合同的宴请等活动。不得接受乙方提供的通讯、交通工具和高档办公用品等物品。</w:t>
      </w:r>
    </w:p>
    <w:p w14:paraId="03CBBDCE">
      <w:pPr>
        <w:spacing w:line="400" w:lineRule="exact"/>
        <w:ind w:firstLine="480" w:firstLineChars="200"/>
        <w:rPr>
          <w:rFonts w:ascii="仿宋" w:hAnsi="仿宋" w:eastAsia="仿宋" w:cs="仿宋"/>
          <w:color w:val="000000"/>
        </w:rPr>
      </w:pPr>
      <w:r>
        <w:rPr>
          <w:rFonts w:hint="eastAsia" w:ascii="仿宋" w:hAnsi="仿宋" w:eastAsia="仿宋" w:cs="仿宋"/>
          <w:color w:val="000000"/>
        </w:rPr>
        <w:t>⒊不要求乙方为甲方工作人员的亲友提供其经营活动的各种便利条件。</w:t>
      </w:r>
    </w:p>
    <w:p w14:paraId="13CD957E">
      <w:pPr>
        <w:spacing w:line="400" w:lineRule="exact"/>
        <w:ind w:firstLine="480" w:firstLineChars="200"/>
        <w:rPr>
          <w:rFonts w:ascii="仿宋" w:hAnsi="仿宋" w:eastAsia="仿宋" w:cs="仿宋"/>
          <w:color w:val="000000"/>
        </w:rPr>
      </w:pPr>
      <w:r>
        <w:rPr>
          <w:rFonts w:hint="eastAsia" w:ascii="仿宋" w:hAnsi="仿宋" w:eastAsia="仿宋" w:cs="仿宋"/>
          <w:color w:val="000000"/>
        </w:rPr>
        <w:t>⒋认真履行《合同》约定的义务，不准在双方合作经营过程中发生推诿扯皮、借故刁难的行为。</w:t>
      </w:r>
    </w:p>
    <w:p w14:paraId="243CED97">
      <w:pPr>
        <w:spacing w:line="400" w:lineRule="exact"/>
        <w:ind w:firstLine="480" w:firstLineChars="200"/>
        <w:rPr>
          <w:rFonts w:ascii="仿宋" w:hAnsi="仿宋" w:eastAsia="仿宋" w:cs="仿宋"/>
          <w:color w:val="000000"/>
        </w:rPr>
      </w:pPr>
      <w:r>
        <w:rPr>
          <w:rFonts w:hint="eastAsia" w:ascii="仿宋" w:hAnsi="仿宋" w:eastAsia="仿宋" w:cs="仿宋"/>
          <w:color w:val="000000"/>
        </w:rPr>
        <w:t>三、乙方义务</w:t>
      </w:r>
    </w:p>
    <w:p w14:paraId="22F5087D">
      <w:pPr>
        <w:spacing w:line="400" w:lineRule="exact"/>
        <w:ind w:firstLine="480" w:firstLineChars="200"/>
        <w:rPr>
          <w:rFonts w:ascii="仿宋" w:hAnsi="仿宋" w:eastAsia="仿宋" w:cs="仿宋"/>
          <w:color w:val="000000"/>
        </w:rPr>
      </w:pPr>
      <w:r>
        <w:rPr>
          <w:rFonts w:hint="eastAsia" w:ascii="仿宋" w:hAnsi="仿宋" w:eastAsia="仿宋" w:cs="仿宋"/>
          <w:color w:val="000000"/>
        </w:rPr>
        <w:t>⒈不得以任何形式向甲方及其工作人员送礼金、有价证券、支付凭证和贵重礼品等，不支付甲方及其工作人员索要《合同》约定以外的各种费用，不得以任何名义为甲方及其工作人员报销应由甲方或其工作人员个人支付的任何费用。</w:t>
      </w:r>
    </w:p>
    <w:p w14:paraId="75EE97FC">
      <w:pPr>
        <w:spacing w:line="400" w:lineRule="exact"/>
        <w:ind w:firstLine="480" w:firstLineChars="200"/>
        <w:rPr>
          <w:rFonts w:ascii="仿宋" w:hAnsi="仿宋" w:eastAsia="仿宋" w:cs="仿宋"/>
          <w:color w:val="000000"/>
        </w:rPr>
      </w:pPr>
      <w:r>
        <w:rPr>
          <w:rFonts w:hint="eastAsia" w:ascii="仿宋" w:hAnsi="仿宋" w:eastAsia="仿宋" w:cs="仿宋"/>
          <w:color w:val="000000"/>
        </w:rPr>
        <w:t>⒉不为甲方及其工作人员提供公款旅游和高消费健身、娱乐活动，不利用宴请等活动影响甲方人员公正履行合同。不得为甲方和个人购置或提供通讯、交通工具和高档办公用品等物品。</w:t>
      </w:r>
    </w:p>
    <w:p w14:paraId="5152BBAD">
      <w:pPr>
        <w:spacing w:line="400" w:lineRule="exact"/>
        <w:ind w:firstLine="480" w:firstLineChars="200"/>
        <w:rPr>
          <w:rFonts w:ascii="仿宋" w:hAnsi="仿宋" w:eastAsia="仿宋" w:cs="仿宋"/>
          <w:color w:val="000000"/>
        </w:rPr>
      </w:pPr>
      <w:r>
        <w:rPr>
          <w:rFonts w:hint="eastAsia" w:ascii="仿宋" w:hAnsi="仿宋" w:eastAsia="仿宋" w:cs="仿宋"/>
          <w:color w:val="000000"/>
        </w:rPr>
        <w:t>⒊不为甲方工作人员的亲友提供其经营活动的各种便利条件。</w:t>
      </w:r>
    </w:p>
    <w:p w14:paraId="6797835A">
      <w:pPr>
        <w:spacing w:line="400" w:lineRule="exact"/>
        <w:ind w:firstLine="480" w:firstLineChars="200"/>
        <w:rPr>
          <w:rFonts w:ascii="仿宋" w:hAnsi="仿宋" w:eastAsia="仿宋" w:cs="仿宋"/>
          <w:color w:val="000000"/>
        </w:rPr>
      </w:pPr>
      <w:r>
        <w:rPr>
          <w:rFonts w:hint="eastAsia" w:ascii="仿宋" w:hAnsi="仿宋" w:eastAsia="仿宋" w:cs="仿宋"/>
          <w:color w:val="000000"/>
        </w:rPr>
        <w:t>⒋认真履行《合同》约定的义务，不准为获得《合同》以外的利益采取不正当的手段。</w:t>
      </w:r>
    </w:p>
    <w:p w14:paraId="1A4D0F37">
      <w:pPr>
        <w:spacing w:line="400" w:lineRule="exact"/>
        <w:ind w:firstLine="480" w:firstLineChars="200"/>
        <w:rPr>
          <w:rFonts w:ascii="仿宋" w:hAnsi="仿宋" w:eastAsia="仿宋" w:cs="仿宋"/>
          <w:color w:val="000000"/>
        </w:rPr>
      </w:pPr>
      <w:r>
        <w:rPr>
          <w:rFonts w:hint="eastAsia" w:ascii="仿宋" w:hAnsi="仿宋" w:eastAsia="仿宋" w:cs="仿宋"/>
          <w:color w:val="000000"/>
        </w:rPr>
        <w:t>⒌甲方对涉嫌不廉洁的商业行为进行调查时，乙方有配合甲方提供征集、作证的义务。</w:t>
      </w:r>
    </w:p>
    <w:p w14:paraId="1D5B4094">
      <w:pPr>
        <w:spacing w:line="400" w:lineRule="exact"/>
        <w:ind w:firstLine="480" w:firstLineChars="200"/>
        <w:rPr>
          <w:rFonts w:ascii="仿宋" w:hAnsi="仿宋" w:eastAsia="仿宋" w:cs="仿宋"/>
          <w:color w:val="000000"/>
        </w:rPr>
      </w:pPr>
      <w:r>
        <w:rPr>
          <w:rFonts w:hint="eastAsia" w:ascii="仿宋" w:hAnsi="仿宋" w:eastAsia="仿宋" w:cs="仿宋"/>
          <w:color w:val="000000"/>
        </w:rPr>
        <w:t>⒍未经甲方单位书面同意，乙方不得向任何新闻媒体、第三人述及有关甲方及其工作人员廉政建设方面的评价、信息。</w:t>
      </w:r>
    </w:p>
    <w:p w14:paraId="0047559D">
      <w:pPr>
        <w:spacing w:line="400" w:lineRule="exact"/>
        <w:ind w:firstLine="480" w:firstLineChars="200"/>
        <w:rPr>
          <w:rFonts w:ascii="仿宋" w:hAnsi="仿宋" w:eastAsia="仿宋" w:cs="仿宋"/>
          <w:color w:val="000000"/>
        </w:rPr>
      </w:pPr>
      <w:r>
        <w:rPr>
          <w:rFonts w:hint="eastAsia" w:ascii="仿宋" w:hAnsi="仿宋" w:eastAsia="仿宋" w:cs="仿宋"/>
          <w:color w:val="000000"/>
        </w:rPr>
        <w:t>四、违约追究</w:t>
      </w:r>
    </w:p>
    <w:p w14:paraId="096CE4F7">
      <w:pPr>
        <w:spacing w:line="400" w:lineRule="exact"/>
        <w:ind w:firstLine="480" w:firstLineChars="200"/>
        <w:rPr>
          <w:rFonts w:ascii="仿宋" w:hAnsi="仿宋" w:eastAsia="仿宋" w:cs="仿宋"/>
          <w:color w:val="000000"/>
        </w:rPr>
      </w:pPr>
      <w:r>
        <w:rPr>
          <w:rFonts w:hint="eastAsia" w:ascii="仿宋" w:hAnsi="仿宋" w:eastAsia="仿宋" w:cs="仿宋"/>
          <w:color w:val="000000"/>
        </w:rPr>
        <w:t>⒈双方应自觉履行各自义务并互相监督。若一方违反义务的，另一方有权利和义务进行举报。乙方举报甲方违反义务的，甲方保证乙方不会在正常业务中受不公平待遇。</w:t>
      </w:r>
    </w:p>
    <w:p w14:paraId="4CCC3854">
      <w:pPr>
        <w:spacing w:line="400" w:lineRule="exact"/>
        <w:ind w:firstLine="480" w:firstLineChars="200"/>
        <w:rPr>
          <w:rFonts w:ascii="仿宋" w:hAnsi="仿宋" w:eastAsia="仿宋" w:cs="仿宋"/>
          <w:color w:val="000000"/>
        </w:rPr>
      </w:pPr>
      <w:r>
        <w:rPr>
          <w:rFonts w:hint="eastAsia" w:ascii="仿宋" w:hAnsi="仿宋" w:eastAsia="仿宋" w:cs="仿宋"/>
          <w:color w:val="000000"/>
        </w:rPr>
        <w:t>⒉甲方违反义务获取《合同》约定以外的利益，除向乙方退还所得利益外，甲方按所得利益的2倍向乙方支付违约金；乙方违法义务提供《合同》约定以外的利益，除甲方将所得利益作为经营收入入账外，乙方按所得利益的2倍向甲方支付违约金。乙方严重违反廉政义务，除支付违约金外，甲方有权单方面终止《合同》，直至永久取消乙方合作对象的资格。</w:t>
      </w:r>
    </w:p>
    <w:p w14:paraId="3273AA83">
      <w:pPr>
        <w:spacing w:line="400" w:lineRule="exact"/>
        <w:ind w:firstLine="480" w:firstLineChars="200"/>
        <w:rPr>
          <w:rFonts w:ascii="仿宋" w:hAnsi="仿宋" w:eastAsia="仿宋" w:cs="仿宋"/>
          <w:color w:val="000000"/>
        </w:rPr>
      </w:pPr>
      <w:r>
        <w:rPr>
          <w:rFonts w:hint="eastAsia" w:ascii="仿宋" w:hAnsi="仿宋" w:eastAsia="仿宋" w:cs="仿宋"/>
          <w:color w:val="000000"/>
        </w:rPr>
        <w:t>⒊任何一方不履行上述各自义务，构成违法违纪的，由司法机关和有关执纪部门按管辖权依法依纪处理，所认定的事实和处理结果作为承担约定违约责任的依据。</w:t>
      </w:r>
    </w:p>
    <w:p w14:paraId="0EC975DD">
      <w:pPr>
        <w:spacing w:line="400" w:lineRule="exact"/>
        <w:ind w:firstLine="480" w:firstLineChars="200"/>
        <w:rPr>
          <w:rFonts w:ascii="仿宋" w:hAnsi="仿宋" w:eastAsia="仿宋" w:cs="仿宋"/>
          <w:color w:val="000000"/>
        </w:rPr>
      </w:pPr>
      <w:r>
        <w:rPr>
          <w:rFonts w:hint="eastAsia" w:ascii="仿宋" w:hAnsi="仿宋" w:eastAsia="仿宋" w:cs="仿宋"/>
          <w:color w:val="000000"/>
        </w:rPr>
        <w:t>⒋由于双方工作人员个人行为造成违约的，双方单位承担上述约定的违约责任。</w:t>
      </w:r>
    </w:p>
    <w:p w14:paraId="2978A2A9">
      <w:pPr>
        <w:spacing w:line="400" w:lineRule="exact"/>
        <w:ind w:firstLine="480" w:firstLineChars="200"/>
        <w:rPr>
          <w:rFonts w:ascii="仿宋" w:hAnsi="仿宋" w:eastAsia="仿宋" w:cs="仿宋"/>
          <w:color w:val="000000"/>
        </w:rPr>
      </w:pPr>
      <w:r>
        <w:rPr>
          <w:rFonts w:hint="eastAsia" w:ascii="仿宋" w:hAnsi="仿宋" w:eastAsia="仿宋" w:cs="仿宋"/>
          <w:color w:val="000000"/>
        </w:rPr>
        <w:t>⒌违约方应在有关部门对违反本协议的行为做出处理或结论后15天内向对方支付违约金。</w:t>
      </w:r>
    </w:p>
    <w:p w14:paraId="77CA3C88">
      <w:pPr>
        <w:spacing w:line="400" w:lineRule="exact"/>
        <w:ind w:firstLine="480" w:firstLineChars="200"/>
        <w:rPr>
          <w:rFonts w:ascii="仿宋" w:hAnsi="仿宋" w:eastAsia="仿宋" w:cs="仿宋"/>
          <w:color w:val="000000"/>
        </w:rPr>
      </w:pPr>
      <w:r>
        <w:rPr>
          <w:rFonts w:hint="eastAsia" w:ascii="仿宋" w:hAnsi="仿宋" w:eastAsia="仿宋" w:cs="仿宋"/>
          <w:color w:val="000000"/>
        </w:rPr>
        <w:t>五、甲方公布廉政问题举报电话：</w:t>
      </w:r>
      <w:r>
        <w:rPr>
          <w:rFonts w:hint="eastAsia" w:ascii="仿宋" w:hAnsi="仿宋" w:eastAsia="仿宋" w:cs="仿宋"/>
          <w:color w:val="000000"/>
          <w:u w:val="single"/>
        </w:rPr>
        <w:t xml:space="preserve"> 021-23530  </w:t>
      </w:r>
      <w:r>
        <w:rPr>
          <w:rFonts w:hint="eastAsia" w:ascii="仿宋" w:hAnsi="仿宋" w:eastAsia="仿宋" w:cs="仿宋"/>
          <w:color w:val="000000"/>
        </w:rPr>
        <w:t>。</w:t>
      </w:r>
    </w:p>
    <w:p w14:paraId="27C95593">
      <w:pPr>
        <w:spacing w:line="400" w:lineRule="exact"/>
        <w:ind w:firstLine="480" w:firstLineChars="200"/>
        <w:rPr>
          <w:rFonts w:ascii="仿宋" w:hAnsi="仿宋" w:eastAsia="仿宋" w:cs="仿宋"/>
          <w:color w:val="000000"/>
        </w:rPr>
      </w:pPr>
      <w:r>
        <w:rPr>
          <w:rFonts w:hint="eastAsia" w:ascii="仿宋" w:hAnsi="仿宋" w:eastAsia="仿宋" w:cs="仿宋"/>
          <w:color w:val="000000"/>
        </w:rPr>
        <w:t>六、双方有其他违反廉政规定的行为，影响正确履行《合同》的，按国家的有关法令、法规和铁路部门的规章制度，对相关方予以责任追究。</w:t>
      </w:r>
    </w:p>
    <w:p w14:paraId="777F78F8">
      <w:pPr>
        <w:spacing w:line="400" w:lineRule="exact"/>
        <w:ind w:firstLine="480" w:firstLineChars="200"/>
        <w:rPr>
          <w:rFonts w:ascii="仿宋" w:hAnsi="仿宋" w:eastAsia="仿宋" w:cs="仿宋"/>
          <w:color w:val="000000"/>
        </w:rPr>
      </w:pPr>
      <w:r>
        <w:rPr>
          <w:rFonts w:hint="eastAsia" w:ascii="仿宋" w:hAnsi="仿宋" w:eastAsia="仿宋" w:cs="仿宋"/>
          <w:color w:val="000000"/>
        </w:rPr>
        <w:t>七、本协议作为《合同》的组成部分，具有与主《合同》同等的法律效力。主《合同》的变更、解除均不影响本协议的效力。本协议一式二份，甲、乙双方各执一份，由双方监督部门负责监督执行。</w:t>
      </w:r>
    </w:p>
    <w:p w14:paraId="52933D66">
      <w:pPr>
        <w:spacing w:line="400" w:lineRule="exact"/>
        <w:ind w:firstLine="480" w:firstLineChars="200"/>
        <w:jc w:val="center"/>
        <w:rPr>
          <w:rFonts w:ascii="仿宋" w:hAnsi="仿宋" w:eastAsia="仿宋" w:cs="仿宋"/>
          <w:color w:val="000000"/>
        </w:rPr>
      </w:pPr>
    </w:p>
    <w:p w14:paraId="663B5028">
      <w:pPr>
        <w:snapToGrid w:val="0"/>
        <w:spacing w:line="400" w:lineRule="exact"/>
        <w:ind w:firstLine="480" w:firstLineChars="200"/>
        <w:rPr>
          <w:rFonts w:ascii="仿宋" w:hAnsi="仿宋" w:eastAsia="仿宋" w:cs="宋体"/>
          <w:color w:val="000000"/>
        </w:rPr>
      </w:pPr>
    </w:p>
    <w:p w14:paraId="3141A772">
      <w:pPr>
        <w:snapToGrid w:val="0"/>
        <w:spacing w:line="400" w:lineRule="exact"/>
        <w:ind w:firstLine="480" w:firstLineChars="200"/>
        <w:rPr>
          <w:rFonts w:ascii="仿宋" w:hAnsi="仿宋" w:eastAsia="仿宋" w:cs="宋体"/>
          <w:color w:val="000000"/>
        </w:rPr>
      </w:pPr>
    </w:p>
    <w:p w14:paraId="3BC6AF8A">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甲方</w:t>
      </w:r>
      <w:r>
        <w:rPr>
          <w:rFonts w:ascii="仿宋" w:hAnsi="仿宋" w:eastAsia="仿宋" w:cs="宋体"/>
          <w:color w:val="000000"/>
        </w:rPr>
        <w:t>(</w:t>
      </w:r>
      <w:r>
        <w:rPr>
          <w:rFonts w:hint="eastAsia" w:ascii="仿宋" w:hAnsi="仿宋" w:eastAsia="仿宋" w:cs="宋体"/>
          <w:color w:val="000000"/>
        </w:rPr>
        <w:t>盖章</w:t>
      </w:r>
      <w:r>
        <w:rPr>
          <w:rFonts w:ascii="仿宋" w:hAnsi="仿宋" w:eastAsia="仿宋" w:cs="宋体"/>
          <w:color w:val="000000"/>
        </w:rPr>
        <w:t xml:space="preserve">):                         </w:t>
      </w:r>
      <w:r>
        <w:rPr>
          <w:rFonts w:hint="eastAsia" w:ascii="仿宋" w:hAnsi="仿宋" w:eastAsia="仿宋" w:cs="宋体"/>
          <w:color w:val="000000"/>
        </w:rPr>
        <w:t>乙方</w:t>
      </w:r>
      <w:r>
        <w:rPr>
          <w:rFonts w:ascii="仿宋" w:hAnsi="仿宋" w:eastAsia="仿宋" w:cs="宋体"/>
          <w:color w:val="000000"/>
        </w:rPr>
        <w:t>(</w:t>
      </w:r>
      <w:r>
        <w:rPr>
          <w:rFonts w:hint="eastAsia" w:ascii="仿宋" w:hAnsi="仿宋" w:eastAsia="仿宋" w:cs="宋体"/>
          <w:color w:val="000000"/>
        </w:rPr>
        <w:t>盖章</w:t>
      </w:r>
      <w:r>
        <w:rPr>
          <w:rFonts w:ascii="仿宋" w:hAnsi="仿宋" w:eastAsia="仿宋" w:cs="宋体"/>
          <w:color w:val="000000"/>
        </w:rPr>
        <w:t>):</w:t>
      </w:r>
    </w:p>
    <w:p w14:paraId="606997B9">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法定代表人或委托人</w:t>
      </w:r>
      <w:r>
        <w:rPr>
          <w:rFonts w:ascii="仿宋" w:hAnsi="仿宋" w:eastAsia="仿宋" w:cs="宋体"/>
          <w:color w:val="000000"/>
        </w:rPr>
        <w:t xml:space="preserve">:                   </w:t>
      </w:r>
      <w:r>
        <w:rPr>
          <w:rFonts w:hint="eastAsia" w:ascii="仿宋" w:hAnsi="仿宋" w:eastAsia="仿宋" w:cs="宋体"/>
          <w:color w:val="000000"/>
        </w:rPr>
        <w:t>法定代表人或委托人</w:t>
      </w:r>
      <w:r>
        <w:rPr>
          <w:rFonts w:ascii="仿宋" w:hAnsi="仿宋" w:eastAsia="仿宋" w:cs="宋体"/>
          <w:color w:val="000000"/>
        </w:rPr>
        <w:t>:</w:t>
      </w:r>
    </w:p>
    <w:p w14:paraId="5410C1E8">
      <w:pPr>
        <w:snapToGrid w:val="0"/>
        <w:spacing w:line="400" w:lineRule="exact"/>
        <w:ind w:firstLine="480" w:firstLineChars="200"/>
        <w:rPr>
          <w:rFonts w:ascii="仿宋" w:hAnsi="仿宋" w:eastAsia="仿宋" w:cs="宋体"/>
          <w:color w:val="000000"/>
        </w:rPr>
      </w:pPr>
      <w:r>
        <w:rPr>
          <w:rFonts w:hint="eastAsia" w:ascii="仿宋" w:hAnsi="仿宋" w:eastAsia="仿宋" w:cs="宋体"/>
          <w:color w:val="000000"/>
        </w:rPr>
        <w:t>日期</w:t>
      </w:r>
      <w:r>
        <w:rPr>
          <w:rFonts w:ascii="仿宋" w:hAnsi="仿宋" w:eastAsia="仿宋" w:cs="宋体"/>
          <w:color w:val="000000"/>
        </w:rPr>
        <w:t xml:space="preserve">:                                 </w:t>
      </w:r>
      <w:r>
        <w:rPr>
          <w:rFonts w:hint="eastAsia" w:ascii="仿宋" w:hAnsi="仿宋" w:eastAsia="仿宋" w:cs="宋体"/>
          <w:color w:val="000000"/>
        </w:rPr>
        <w:t>日期</w:t>
      </w:r>
      <w:r>
        <w:rPr>
          <w:rFonts w:ascii="仿宋" w:hAnsi="仿宋" w:eastAsia="仿宋" w:cs="宋体"/>
          <w:color w:val="000000"/>
        </w:rPr>
        <w:t>:</w:t>
      </w:r>
    </w:p>
    <w:p w14:paraId="786D13F1">
      <w:pPr>
        <w:spacing w:line="400" w:lineRule="exact"/>
        <w:ind w:firstLine="480" w:firstLineChars="200"/>
        <w:rPr>
          <w:color w:val="000000"/>
        </w:rPr>
      </w:pPr>
    </w:p>
    <w:p w14:paraId="22346FEE">
      <w:pPr>
        <w:snapToGrid w:val="0"/>
        <w:spacing w:line="400" w:lineRule="exact"/>
        <w:ind w:firstLine="560" w:firstLineChars="200"/>
        <w:rPr>
          <w:rFonts w:ascii="仿宋" w:hAnsi="仿宋" w:eastAsia="仿宋" w:cs="宋体"/>
          <w:color w:val="000000"/>
          <w:sz w:val="28"/>
        </w:rPr>
      </w:pPr>
    </w:p>
    <w:p w14:paraId="170CBD3A">
      <w:pPr>
        <w:spacing w:line="400" w:lineRule="exact"/>
        <w:ind w:firstLine="560" w:firstLineChars="200"/>
        <w:rPr>
          <w:rFonts w:ascii="仿宋" w:hAnsi="仿宋" w:eastAsia="仿宋" w:cs="宋体"/>
          <w:color w:val="000000"/>
          <w:sz w:val="28"/>
          <w:szCs w:val="36"/>
        </w:rPr>
      </w:pPr>
      <w:r>
        <w:rPr>
          <w:rFonts w:hint="eastAsia" w:ascii="仿宋" w:hAnsi="仿宋" w:eastAsia="仿宋" w:cs="宋体"/>
          <w:color w:val="000000"/>
          <w:sz w:val="28"/>
          <w:szCs w:val="36"/>
        </w:rPr>
        <w:br w:type="page"/>
      </w:r>
      <w:r>
        <w:rPr>
          <w:rFonts w:hint="eastAsia" w:ascii="仿宋" w:hAnsi="仿宋" w:eastAsia="仿宋" w:cs="宋体"/>
          <w:color w:val="000000"/>
          <w:sz w:val="28"/>
          <w:szCs w:val="36"/>
        </w:rPr>
        <w:t>附件4：</w:t>
      </w:r>
    </w:p>
    <w:p w14:paraId="2C3521A4">
      <w:pPr>
        <w:spacing w:line="400" w:lineRule="exact"/>
        <w:ind w:firstLine="562" w:firstLineChars="200"/>
        <w:jc w:val="center"/>
        <w:rPr>
          <w:rFonts w:ascii="仿宋" w:hAnsi="仿宋" w:eastAsia="仿宋" w:cs="宋体"/>
          <w:b/>
          <w:bCs/>
          <w:color w:val="000000"/>
          <w:sz w:val="28"/>
          <w:szCs w:val="36"/>
        </w:rPr>
      </w:pPr>
      <w:r>
        <w:rPr>
          <w:rFonts w:hint="eastAsia" w:ascii="仿宋" w:hAnsi="仿宋" w:eastAsia="仿宋" w:cs="宋体"/>
          <w:b/>
          <w:bCs/>
          <w:color w:val="000000"/>
          <w:sz w:val="28"/>
          <w:szCs w:val="36"/>
        </w:rPr>
        <w:t>经营场所交接确认书</w:t>
      </w:r>
    </w:p>
    <w:p w14:paraId="29340DCF">
      <w:pPr>
        <w:spacing w:line="400" w:lineRule="exact"/>
        <w:ind w:firstLine="560" w:firstLineChars="200"/>
        <w:rPr>
          <w:rFonts w:ascii="仿宋" w:hAnsi="仿宋" w:eastAsia="仿宋" w:cs="宋体"/>
          <w:color w:val="000000"/>
          <w:sz w:val="28"/>
          <w:szCs w:val="36"/>
        </w:rPr>
      </w:pPr>
    </w:p>
    <w:p w14:paraId="0C790CCC">
      <w:pPr>
        <w:spacing w:line="400" w:lineRule="exact"/>
        <w:ind w:firstLine="480" w:firstLineChars="200"/>
        <w:rPr>
          <w:rFonts w:ascii="仿宋" w:hAnsi="仿宋" w:eastAsia="仿宋" w:cs="宋体"/>
          <w:color w:val="000000"/>
          <w:szCs w:val="36"/>
        </w:rPr>
      </w:pPr>
      <w:r>
        <w:rPr>
          <w:rFonts w:hint="eastAsia" w:ascii="仿宋" w:hAnsi="仿宋" w:eastAsia="仿宋" w:cs="宋体"/>
          <w:color w:val="000000"/>
          <w:szCs w:val="36"/>
        </w:rPr>
        <w:t>甲乙双方共同确认经营场所面积为平方米，甲方于年月日已将该等面积的经营场所移交给乙方使用。</w:t>
      </w:r>
    </w:p>
    <w:p w14:paraId="3B178F41">
      <w:pPr>
        <w:spacing w:line="400" w:lineRule="exact"/>
        <w:ind w:firstLine="480" w:firstLineChars="200"/>
        <w:rPr>
          <w:rFonts w:ascii="仿宋" w:hAnsi="仿宋" w:eastAsia="仿宋" w:cs="宋体"/>
          <w:color w:val="000000"/>
          <w:szCs w:val="36"/>
        </w:rPr>
      </w:pPr>
    </w:p>
    <w:p w14:paraId="71742774">
      <w:pPr>
        <w:spacing w:line="400" w:lineRule="exact"/>
        <w:ind w:firstLine="480" w:firstLineChars="200"/>
        <w:rPr>
          <w:rFonts w:ascii="仿宋" w:hAnsi="仿宋" w:eastAsia="仿宋" w:cs="宋体"/>
          <w:color w:val="000000"/>
          <w:szCs w:val="36"/>
        </w:rPr>
      </w:pPr>
    </w:p>
    <w:p w14:paraId="2F2D594E">
      <w:pPr>
        <w:spacing w:line="400" w:lineRule="exact"/>
        <w:ind w:firstLine="480" w:firstLineChars="200"/>
        <w:rPr>
          <w:rFonts w:ascii="仿宋" w:hAnsi="仿宋" w:eastAsia="仿宋" w:cs="宋体"/>
          <w:color w:val="000000"/>
          <w:szCs w:val="36"/>
        </w:rPr>
      </w:pPr>
    </w:p>
    <w:p w14:paraId="5F3D2B93">
      <w:pPr>
        <w:spacing w:line="400" w:lineRule="exact"/>
        <w:ind w:firstLine="480" w:firstLineChars="200"/>
        <w:rPr>
          <w:rFonts w:ascii="仿宋" w:hAnsi="仿宋" w:eastAsia="仿宋" w:cs="宋体"/>
          <w:color w:val="000000"/>
          <w:szCs w:val="36"/>
        </w:rPr>
      </w:pPr>
      <w:r>
        <w:rPr>
          <w:rFonts w:hint="eastAsia" w:ascii="仿宋" w:hAnsi="仿宋" w:eastAsia="仿宋" w:cs="宋体"/>
          <w:color w:val="000000"/>
          <w:szCs w:val="36"/>
        </w:rPr>
        <w:t>甲方</w:t>
      </w:r>
      <w:r>
        <w:rPr>
          <w:rFonts w:ascii="仿宋" w:hAnsi="仿宋" w:eastAsia="仿宋" w:cs="宋体"/>
          <w:color w:val="000000"/>
          <w:szCs w:val="36"/>
        </w:rPr>
        <w:t>(</w:t>
      </w:r>
      <w:r>
        <w:rPr>
          <w:rFonts w:hint="eastAsia" w:ascii="仿宋" w:hAnsi="仿宋" w:eastAsia="仿宋" w:cs="宋体"/>
          <w:color w:val="000000"/>
          <w:szCs w:val="36"/>
        </w:rPr>
        <w:t>盖章</w:t>
      </w:r>
      <w:r>
        <w:rPr>
          <w:rFonts w:ascii="仿宋" w:hAnsi="仿宋" w:eastAsia="仿宋" w:cs="宋体"/>
          <w:color w:val="000000"/>
          <w:szCs w:val="36"/>
        </w:rPr>
        <w:t xml:space="preserve">):                          </w:t>
      </w:r>
      <w:r>
        <w:rPr>
          <w:rFonts w:hint="eastAsia" w:ascii="仿宋" w:hAnsi="仿宋" w:eastAsia="仿宋" w:cs="宋体"/>
          <w:color w:val="000000"/>
          <w:szCs w:val="36"/>
        </w:rPr>
        <w:t>乙方</w:t>
      </w:r>
      <w:r>
        <w:rPr>
          <w:rFonts w:ascii="仿宋" w:hAnsi="仿宋" w:eastAsia="仿宋" w:cs="宋体"/>
          <w:color w:val="000000"/>
          <w:szCs w:val="36"/>
        </w:rPr>
        <w:t>(</w:t>
      </w:r>
      <w:r>
        <w:rPr>
          <w:rFonts w:hint="eastAsia" w:ascii="仿宋" w:hAnsi="仿宋" w:eastAsia="仿宋" w:cs="宋体"/>
          <w:color w:val="000000"/>
          <w:szCs w:val="36"/>
        </w:rPr>
        <w:t>盖章</w:t>
      </w:r>
      <w:r>
        <w:rPr>
          <w:rFonts w:ascii="仿宋" w:hAnsi="仿宋" w:eastAsia="仿宋" w:cs="宋体"/>
          <w:color w:val="000000"/>
          <w:szCs w:val="36"/>
        </w:rPr>
        <w:t>):</w:t>
      </w:r>
    </w:p>
    <w:p w14:paraId="4B77F0F1">
      <w:pPr>
        <w:spacing w:line="400" w:lineRule="exact"/>
        <w:ind w:firstLine="480" w:firstLineChars="200"/>
        <w:rPr>
          <w:rFonts w:ascii="仿宋" w:hAnsi="仿宋" w:eastAsia="仿宋" w:cs="宋体"/>
          <w:color w:val="000000"/>
          <w:szCs w:val="36"/>
        </w:rPr>
      </w:pPr>
    </w:p>
    <w:p w14:paraId="04850900">
      <w:pPr>
        <w:spacing w:line="400" w:lineRule="exact"/>
        <w:ind w:firstLine="480" w:firstLineChars="200"/>
        <w:rPr>
          <w:rFonts w:ascii="仿宋" w:hAnsi="仿宋" w:eastAsia="仿宋" w:cs="宋体"/>
          <w:color w:val="000000"/>
          <w:szCs w:val="36"/>
        </w:rPr>
      </w:pPr>
      <w:r>
        <w:rPr>
          <w:rFonts w:hint="eastAsia" w:ascii="仿宋" w:hAnsi="仿宋" w:eastAsia="仿宋" w:cs="宋体"/>
          <w:color w:val="000000"/>
          <w:szCs w:val="36"/>
        </w:rPr>
        <w:t>法定代表人或委托人</w:t>
      </w:r>
      <w:r>
        <w:rPr>
          <w:rFonts w:ascii="仿宋" w:hAnsi="仿宋" w:eastAsia="仿宋" w:cs="宋体"/>
          <w:color w:val="000000"/>
          <w:szCs w:val="36"/>
        </w:rPr>
        <w:t xml:space="preserve">:                   </w:t>
      </w:r>
      <w:r>
        <w:rPr>
          <w:rFonts w:hint="eastAsia" w:ascii="仿宋" w:hAnsi="仿宋" w:eastAsia="仿宋" w:cs="宋体"/>
          <w:color w:val="000000"/>
          <w:szCs w:val="36"/>
        </w:rPr>
        <w:t>法定代表人或委托人</w:t>
      </w:r>
      <w:r>
        <w:rPr>
          <w:rFonts w:ascii="仿宋" w:hAnsi="仿宋" w:eastAsia="仿宋" w:cs="宋体"/>
          <w:color w:val="000000"/>
          <w:szCs w:val="36"/>
        </w:rPr>
        <w:t>:</w:t>
      </w:r>
    </w:p>
    <w:p w14:paraId="73556E72">
      <w:pPr>
        <w:spacing w:line="400" w:lineRule="exact"/>
        <w:ind w:firstLine="480" w:firstLineChars="200"/>
        <w:rPr>
          <w:rFonts w:ascii="仿宋" w:hAnsi="仿宋" w:eastAsia="仿宋" w:cs="宋体"/>
          <w:color w:val="000000"/>
          <w:szCs w:val="36"/>
        </w:rPr>
      </w:pPr>
    </w:p>
    <w:p w14:paraId="30D25DAE">
      <w:pPr>
        <w:spacing w:line="400" w:lineRule="exact"/>
        <w:ind w:firstLine="480" w:firstLineChars="200"/>
        <w:rPr>
          <w:rFonts w:ascii="仿宋" w:hAnsi="仿宋" w:eastAsia="仿宋" w:cs="宋体"/>
          <w:color w:val="000000"/>
          <w:szCs w:val="36"/>
        </w:rPr>
      </w:pPr>
      <w:r>
        <w:rPr>
          <w:rFonts w:hint="eastAsia" w:ascii="仿宋" w:hAnsi="仿宋" w:eastAsia="仿宋" w:cs="宋体"/>
          <w:color w:val="000000"/>
          <w:szCs w:val="36"/>
        </w:rPr>
        <w:t>日期</w:t>
      </w:r>
      <w:r>
        <w:rPr>
          <w:rFonts w:ascii="仿宋" w:hAnsi="仿宋" w:eastAsia="仿宋" w:cs="宋体"/>
          <w:color w:val="000000"/>
          <w:szCs w:val="36"/>
        </w:rPr>
        <w:t xml:space="preserve">:                                 </w:t>
      </w:r>
      <w:r>
        <w:rPr>
          <w:rFonts w:hint="eastAsia" w:ascii="仿宋" w:hAnsi="仿宋" w:eastAsia="仿宋" w:cs="宋体"/>
          <w:color w:val="000000"/>
          <w:szCs w:val="36"/>
        </w:rPr>
        <w:t>日期</w:t>
      </w:r>
      <w:r>
        <w:rPr>
          <w:rFonts w:ascii="仿宋" w:hAnsi="仿宋" w:eastAsia="仿宋" w:cs="宋体"/>
          <w:color w:val="000000"/>
          <w:szCs w:val="36"/>
        </w:rPr>
        <w:t>:</w:t>
      </w:r>
    </w:p>
    <w:p w14:paraId="32D06B44">
      <w:pPr>
        <w:spacing w:line="400" w:lineRule="exact"/>
        <w:ind w:firstLine="480" w:firstLineChars="200"/>
        <w:outlineLvl w:val="0"/>
        <w:rPr>
          <w:rFonts w:ascii="仿宋" w:hAnsi="仿宋" w:eastAsia="仿宋" w:cs="宋体"/>
          <w:color w:val="000000"/>
        </w:rPr>
      </w:pPr>
    </w:p>
    <w:p w14:paraId="3CDC7EB1">
      <w:pPr>
        <w:spacing w:line="400" w:lineRule="exact"/>
        <w:ind w:firstLine="480" w:firstLineChars="200"/>
        <w:outlineLvl w:val="0"/>
        <w:rPr>
          <w:rFonts w:ascii="仿宋" w:hAnsi="仿宋" w:eastAsia="仿宋" w:cs="宋体"/>
          <w:color w:val="000000"/>
        </w:rPr>
      </w:pPr>
    </w:p>
    <w:p w14:paraId="5B56361C">
      <w:pPr>
        <w:pStyle w:val="63"/>
        <w:spacing w:line="400" w:lineRule="exact"/>
        <w:ind w:firstLine="420"/>
      </w:pPr>
    </w:p>
    <w:p w14:paraId="7A300CD1">
      <w:pPr>
        <w:spacing w:line="400" w:lineRule="exact"/>
        <w:ind w:firstLine="480" w:firstLineChars="200"/>
      </w:pPr>
    </w:p>
    <w:p w14:paraId="4DB0350D">
      <w:pPr>
        <w:pStyle w:val="63"/>
        <w:spacing w:line="400" w:lineRule="exact"/>
        <w:ind w:firstLine="420"/>
      </w:pPr>
    </w:p>
    <w:p w14:paraId="6792B4E8">
      <w:pPr>
        <w:spacing w:line="400" w:lineRule="exact"/>
        <w:ind w:firstLine="480" w:firstLineChars="200"/>
      </w:pPr>
    </w:p>
    <w:p w14:paraId="21ED3CEC">
      <w:pPr>
        <w:pStyle w:val="63"/>
        <w:spacing w:line="400" w:lineRule="exact"/>
        <w:ind w:firstLine="420"/>
      </w:pPr>
    </w:p>
    <w:p w14:paraId="42BCF4EA">
      <w:pPr>
        <w:spacing w:line="400" w:lineRule="exact"/>
        <w:ind w:firstLine="480" w:firstLineChars="200"/>
      </w:pPr>
    </w:p>
    <w:p w14:paraId="599D1BB8">
      <w:pPr>
        <w:pStyle w:val="63"/>
        <w:spacing w:line="400" w:lineRule="exact"/>
        <w:ind w:firstLine="420"/>
      </w:pPr>
    </w:p>
    <w:p w14:paraId="3552251E">
      <w:pPr>
        <w:spacing w:line="400" w:lineRule="exact"/>
        <w:ind w:firstLine="480" w:firstLineChars="200"/>
      </w:pPr>
    </w:p>
    <w:p w14:paraId="1DA278E4">
      <w:pPr>
        <w:pStyle w:val="63"/>
        <w:spacing w:line="400" w:lineRule="exact"/>
        <w:ind w:firstLine="420"/>
      </w:pPr>
    </w:p>
    <w:p w14:paraId="17B40D1F">
      <w:pPr>
        <w:spacing w:line="400" w:lineRule="exact"/>
        <w:ind w:firstLine="480" w:firstLineChars="200"/>
      </w:pPr>
    </w:p>
    <w:p w14:paraId="376A99D4">
      <w:pPr>
        <w:spacing w:line="400" w:lineRule="exact"/>
        <w:ind w:firstLine="480" w:firstLineChars="200"/>
        <w:rPr>
          <w:rFonts w:ascii="仿宋" w:hAnsi="仿宋" w:eastAsia="仿宋" w:cs="宋体"/>
          <w:color w:val="000000"/>
          <w:szCs w:val="36"/>
        </w:rPr>
      </w:pPr>
    </w:p>
    <w:p w14:paraId="34B9BA4F">
      <w:pPr>
        <w:pStyle w:val="63"/>
        <w:ind w:firstLine="420"/>
        <w:sectPr>
          <w:footerReference r:id="rId3" w:type="default"/>
          <w:footerReference r:id="rId4" w:type="even"/>
          <w:pgSz w:w="11907" w:h="16840"/>
          <w:pgMar w:top="1588" w:right="1021" w:bottom="1474" w:left="1021" w:header="1021" w:footer="992" w:gutter="340"/>
          <w:cols w:space="720" w:num="1"/>
          <w:docGrid w:linePitch="326" w:charSpace="0"/>
        </w:sectPr>
      </w:pPr>
    </w:p>
    <w:bookmarkEnd w:id="1087"/>
    <w:bookmarkEnd w:id="1088"/>
    <w:bookmarkEnd w:id="1089"/>
    <w:bookmarkEnd w:id="1090"/>
    <w:bookmarkEnd w:id="1091"/>
    <w:bookmarkEnd w:id="1092"/>
    <w:bookmarkEnd w:id="1093"/>
    <w:bookmarkEnd w:id="1094"/>
    <w:p w14:paraId="3BC879BF">
      <w:pPr>
        <w:rPr>
          <w:color w:val="000000" w:themeColor="text1"/>
        </w:rPr>
      </w:pPr>
      <w:bookmarkStart w:id="1158" w:name="_Toc10810"/>
      <w:bookmarkStart w:id="1159" w:name="_Toc433369463"/>
    </w:p>
    <w:p w14:paraId="37580074">
      <w:pPr>
        <w:pStyle w:val="63"/>
        <w:ind w:firstLine="420"/>
        <w:rPr>
          <w:color w:val="000000" w:themeColor="text1"/>
        </w:rPr>
      </w:pPr>
    </w:p>
    <w:p w14:paraId="3636533F">
      <w:pPr>
        <w:spacing w:line="360" w:lineRule="auto"/>
        <w:ind w:firstLine="240" w:firstLineChars="100"/>
        <w:jc w:val="right"/>
        <w:rPr>
          <w:rFonts w:hint="default" w:eastAsia="宋体"/>
          <w:color w:val="000000" w:themeColor="text1"/>
          <w:lang w:val="en-US" w:eastAsia="zh-CN"/>
        </w:rPr>
      </w:pPr>
      <w:r>
        <w:rPr>
          <w:color w:val="000000" w:themeColor="text1"/>
        </w:rPr>
        <w:t>招商编</w:t>
      </w:r>
      <w:r>
        <w:rPr>
          <w:color w:val="auto"/>
        </w:rPr>
        <w:t>号：SL-</w:t>
      </w:r>
      <w:r>
        <w:rPr>
          <w:rFonts w:hint="eastAsia"/>
          <w:color w:val="auto"/>
          <w:lang w:val="en-US" w:eastAsia="zh-CN"/>
        </w:rPr>
        <w:t>2025</w:t>
      </w:r>
      <w:r>
        <w:rPr>
          <w:color w:val="auto"/>
        </w:rPr>
        <w:t>-</w:t>
      </w:r>
      <w:r>
        <w:rPr>
          <w:rFonts w:hint="eastAsia"/>
          <w:color w:val="auto"/>
          <w:lang w:val="en-US" w:eastAsia="zh-CN"/>
        </w:rPr>
        <w:t>9</w:t>
      </w:r>
      <w:r>
        <w:rPr>
          <w:color w:val="auto"/>
        </w:rPr>
        <w:t>-</w:t>
      </w:r>
      <w:r>
        <w:rPr>
          <w:rFonts w:hint="eastAsia"/>
          <w:color w:val="auto"/>
          <w:lang w:val="en-US" w:eastAsia="zh-CN"/>
        </w:rPr>
        <w:t>25</w:t>
      </w:r>
    </w:p>
    <w:p w14:paraId="5042631E">
      <w:pPr>
        <w:rPr>
          <w:color w:val="000000" w:themeColor="text1"/>
        </w:rPr>
      </w:pPr>
    </w:p>
    <w:p w14:paraId="42EEF6C7">
      <w:pPr>
        <w:jc w:val="center"/>
        <w:outlineLvl w:val="0"/>
        <w:rPr>
          <w:rFonts w:ascii="黑体" w:hAnsi="黑体" w:eastAsia="黑体"/>
          <w:b/>
          <w:color w:val="000000" w:themeColor="text1"/>
          <w:sz w:val="44"/>
          <w:szCs w:val="44"/>
        </w:rPr>
      </w:pPr>
      <w:r>
        <w:rPr>
          <w:rFonts w:ascii="黑体" w:hAnsi="黑体" w:eastAsia="黑体"/>
          <w:b/>
          <w:color w:val="000000" w:themeColor="text1"/>
          <w:sz w:val="44"/>
          <w:szCs w:val="44"/>
        </w:rPr>
        <w:t>第六章竞商文件格式</w:t>
      </w:r>
      <w:bookmarkEnd w:id="1158"/>
      <w:bookmarkEnd w:id="1159"/>
    </w:p>
    <w:p w14:paraId="68773775">
      <w:pPr>
        <w:rPr>
          <w:rFonts w:eastAsia="方正小标宋简体"/>
          <w:b/>
          <w:color w:val="000000" w:themeColor="text1"/>
          <w:sz w:val="20"/>
          <w:szCs w:val="20"/>
        </w:rPr>
      </w:pPr>
    </w:p>
    <w:p w14:paraId="53E2D77B">
      <w:pPr>
        <w:rPr>
          <w:rFonts w:eastAsia="方正小标宋简体"/>
          <w:b/>
          <w:color w:val="000000" w:themeColor="text1"/>
          <w:sz w:val="20"/>
          <w:szCs w:val="20"/>
        </w:rPr>
      </w:pPr>
    </w:p>
    <w:p w14:paraId="71671BD4">
      <w:pPr>
        <w:rPr>
          <w:rFonts w:eastAsia="方正小标宋简体"/>
          <w:b/>
          <w:color w:val="000000" w:themeColor="text1"/>
          <w:sz w:val="20"/>
          <w:szCs w:val="20"/>
        </w:rPr>
      </w:pPr>
    </w:p>
    <w:p w14:paraId="452D147A">
      <w:pPr>
        <w:tabs>
          <w:tab w:val="left" w:pos="3675"/>
        </w:tabs>
        <w:outlineLvl w:val="0"/>
        <w:rPr>
          <w:rFonts w:eastAsia="方正小标宋简体"/>
          <w:color w:val="000000" w:themeColor="text1"/>
          <w:sz w:val="52"/>
          <w:szCs w:val="52"/>
        </w:rPr>
      </w:pPr>
      <w:bookmarkStart w:id="1160" w:name="_Toc3550"/>
      <w:r>
        <w:rPr>
          <w:rFonts w:eastAsia="方正小标宋简体"/>
          <w:color w:val="000000" w:themeColor="text1"/>
          <w:sz w:val="52"/>
          <w:szCs w:val="52"/>
        </w:rPr>
        <w:tab/>
      </w:r>
    </w:p>
    <w:p w14:paraId="6DCF26AF">
      <w:pPr>
        <w:pStyle w:val="63"/>
        <w:rPr>
          <w:rFonts w:eastAsia="方正小标宋简体"/>
          <w:color w:val="000000" w:themeColor="text1"/>
          <w:sz w:val="52"/>
          <w:szCs w:val="52"/>
        </w:rPr>
      </w:pPr>
    </w:p>
    <w:p w14:paraId="2D7956AC">
      <w:pPr>
        <w:rPr>
          <w:rFonts w:eastAsia="方正小标宋简体"/>
          <w:color w:val="000000" w:themeColor="text1"/>
          <w:sz w:val="52"/>
          <w:szCs w:val="52"/>
        </w:rPr>
      </w:pPr>
    </w:p>
    <w:p w14:paraId="2148DC13">
      <w:pPr>
        <w:pStyle w:val="63"/>
        <w:rPr>
          <w:rFonts w:eastAsia="方正小标宋简体"/>
          <w:color w:val="000000" w:themeColor="text1"/>
          <w:sz w:val="52"/>
          <w:szCs w:val="52"/>
        </w:rPr>
      </w:pPr>
    </w:p>
    <w:p w14:paraId="2EB74A76">
      <w:pPr>
        <w:rPr>
          <w:rFonts w:eastAsia="方正小标宋简体"/>
          <w:color w:val="000000" w:themeColor="text1"/>
          <w:sz w:val="52"/>
          <w:szCs w:val="52"/>
        </w:rPr>
      </w:pPr>
    </w:p>
    <w:p w14:paraId="09006674">
      <w:pPr>
        <w:pStyle w:val="63"/>
        <w:rPr>
          <w:rFonts w:eastAsia="方正小标宋简体"/>
          <w:color w:val="000000" w:themeColor="text1"/>
          <w:sz w:val="52"/>
          <w:szCs w:val="52"/>
        </w:rPr>
      </w:pPr>
    </w:p>
    <w:p w14:paraId="52030A3A">
      <w:pPr>
        <w:rPr>
          <w:rFonts w:eastAsia="方正小标宋简体"/>
          <w:color w:val="000000" w:themeColor="text1"/>
          <w:sz w:val="52"/>
          <w:szCs w:val="52"/>
        </w:rPr>
      </w:pPr>
    </w:p>
    <w:p w14:paraId="4050AE40">
      <w:pPr>
        <w:pStyle w:val="63"/>
        <w:rPr>
          <w:rFonts w:eastAsia="方正小标宋简体"/>
          <w:color w:val="000000" w:themeColor="text1"/>
          <w:sz w:val="52"/>
          <w:szCs w:val="52"/>
        </w:rPr>
      </w:pPr>
    </w:p>
    <w:p w14:paraId="44AEF352">
      <w:pPr>
        <w:rPr>
          <w:rFonts w:eastAsia="方正小标宋简体"/>
          <w:color w:val="000000" w:themeColor="text1"/>
          <w:sz w:val="52"/>
          <w:szCs w:val="52"/>
        </w:rPr>
      </w:pPr>
    </w:p>
    <w:p w14:paraId="59ED9F84">
      <w:pPr>
        <w:pStyle w:val="63"/>
        <w:rPr>
          <w:rFonts w:eastAsia="方正小标宋简体"/>
          <w:color w:val="000000" w:themeColor="text1"/>
          <w:sz w:val="52"/>
          <w:szCs w:val="52"/>
        </w:rPr>
      </w:pPr>
    </w:p>
    <w:p w14:paraId="35FD83F2">
      <w:pPr>
        <w:rPr>
          <w:rFonts w:eastAsia="方正小标宋简体"/>
          <w:color w:val="000000" w:themeColor="text1"/>
          <w:sz w:val="52"/>
          <w:szCs w:val="52"/>
        </w:rPr>
      </w:pPr>
    </w:p>
    <w:p w14:paraId="13CC18F1">
      <w:pPr>
        <w:pStyle w:val="63"/>
        <w:rPr>
          <w:rFonts w:eastAsia="方正小标宋简体"/>
          <w:color w:val="000000" w:themeColor="text1"/>
          <w:sz w:val="52"/>
          <w:szCs w:val="52"/>
        </w:rPr>
      </w:pPr>
    </w:p>
    <w:p w14:paraId="6E2B984D">
      <w:pPr>
        <w:rPr>
          <w:rFonts w:eastAsia="方正小标宋简体"/>
          <w:color w:val="000000" w:themeColor="text1"/>
          <w:sz w:val="52"/>
          <w:szCs w:val="52"/>
        </w:rPr>
      </w:pPr>
    </w:p>
    <w:p w14:paraId="4205B693">
      <w:pPr>
        <w:pStyle w:val="63"/>
        <w:rPr>
          <w:rFonts w:eastAsia="方正小标宋简体"/>
          <w:color w:val="000000" w:themeColor="text1"/>
          <w:sz w:val="52"/>
          <w:szCs w:val="52"/>
        </w:rPr>
      </w:pPr>
    </w:p>
    <w:p w14:paraId="2BE4EDEE">
      <w:pPr>
        <w:rPr>
          <w:rFonts w:eastAsia="方正小标宋简体"/>
          <w:color w:val="000000" w:themeColor="text1"/>
          <w:sz w:val="52"/>
          <w:szCs w:val="52"/>
        </w:rPr>
      </w:pPr>
    </w:p>
    <w:p w14:paraId="3EF3744C">
      <w:pPr>
        <w:pStyle w:val="63"/>
        <w:rPr>
          <w:rFonts w:eastAsia="方正小标宋简体"/>
          <w:color w:val="000000" w:themeColor="text1"/>
          <w:sz w:val="52"/>
          <w:szCs w:val="52"/>
        </w:rPr>
      </w:pPr>
    </w:p>
    <w:p w14:paraId="79046751">
      <w:pPr>
        <w:rPr>
          <w:rFonts w:eastAsia="方正小标宋简体"/>
          <w:color w:val="000000" w:themeColor="text1"/>
          <w:sz w:val="52"/>
          <w:szCs w:val="52"/>
        </w:rPr>
      </w:pPr>
    </w:p>
    <w:p w14:paraId="6E788F9E">
      <w:pPr>
        <w:pStyle w:val="63"/>
        <w:rPr>
          <w:rFonts w:eastAsia="方正小标宋简体"/>
          <w:color w:val="000000" w:themeColor="text1"/>
          <w:sz w:val="52"/>
          <w:szCs w:val="52"/>
        </w:rPr>
      </w:pPr>
    </w:p>
    <w:p w14:paraId="59F19BD3">
      <w:pPr>
        <w:rPr>
          <w:rFonts w:eastAsia="方正小标宋简体"/>
          <w:color w:val="000000" w:themeColor="text1"/>
          <w:sz w:val="52"/>
          <w:szCs w:val="52"/>
        </w:rPr>
      </w:pPr>
    </w:p>
    <w:p w14:paraId="5EAB7818">
      <w:pPr>
        <w:pStyle w:val="63"/>
        <w:rPr>
          <w:rFonts w:eastAsia="方正小标宋简体"/>
          <w:color w:val="000000" w:themeColor="text1"/>
          <w:sz w:val="52"/>
          <w:szCs w:val="52"/>
        </w:rPr>
      </w:pPr>
    </w:p>
    <w:p w14:paraId="16F15F95">
      <w:pPr>
        <w:rPr>
          <w:rFonts w:eastAsia="方正小标宋简体"/>
          <w:color w:val="000000" w:themeColor="text1"/>
          <w:sz w:val="52"/>
          <w:szCs w:val="52"/>
        </w:rPr>
      </w:pPr>
    </w:p>
    <w:p w14:paraId="420E4358">
      <w:pPr>
        <w:pStyle w:val="63"/>
      </w:pPr>
    </w:p>
    <w:p w14:paraId="38236032">
      <w:pPr>
        <w:pStyle w:val="63"/>
        <w:ind w:firstLine="420"/>
        <w:rPr>
          <w:color w:val="000000" w:themeColor="text1"/>
        </w:rPr>
      </w:pPr>
    </w:p>
    <w:p w14:paraId="57E53EFA">
      <w:pPr>
        <w:pStyle w:val="63"/>
        <w:ind w:firstLine="420"/>
        <w:rPr>
          <w:color w:val="000000" w:themeColor="text1"/>
        </w:rPr>
      </w:pPr>
    </w:p>
    <w:p w14:paraId="761CCCF5">
      <w:pPr>
        <w:jc w:val="center"/>
        <w:outlineLvl w:val="0"/>
        <w:rPr>
          <w:rFonts w:eastAsia="方正小标宋简体"/>
          <w:color w:val="000000" w:themeColor="text1"/>
          <w:sz w:val="52"/>
          <w:szCs w:val="52"/>
        </w:rPr>
      </w:pPr>
    </w:p>
    <w:p w14:paraId="3A1F3A74">
      <w:pPr>
        <w:jc w:val="center"/>
        <w:outlineLvl w:val="0"/>
        <w:rPr>
          <w:rFonts w:eastAsia="方正小标宋简体"/>
          <w:color w:val="000000" w:themeColor="text1"/>
          <w:sz w:val="52"/>
          <w:szCs w:val="52"/>
        </w:rPr>
      </w:pPr>
    </w:p>
    <w:p w14:paraId="4F0C30C0">
      <w:pPr>
        <w:jc w:val="center"/>
        <w:outlineLvl w:val="0"/>
        <w:rPr>
          <w:rFonts w:eastAsia="方正小标宋简体"/>
          <w:color w:val="000000" w:themeColor="text1"/>
          <w:sz w:val="52"/>
          <w:szCs w:val="52"/>
        </w:rPr>
      </w:pPr>
    </w:p>
    <w:p w14:paraId="5F806B8D">
      <w:pPr>
        <w:ind w:firstLine="3380" w:firstLineChars="650"/>
        <w:outlineLvl w:val="0"/>
        <w:rPr>
          <w:rFonts w:eastAsia="方正小标宋简体"/>
          <w:color w:val="000000" w:themeColor="text1"/>
          <w:sz w:val="52"/>
          <w:szCs w:val="52"/>
        </w:rPr>
      </w:pPr>
      <w:r>
        <w:rPr>
          <w:rFonts w:hint="eastAsia" w:eastAsia="方正小标宋简体"/>
          <w:color w:val="000000" w:themeColor="text1"/>
          <w:sz w:val="52"/>
          <w:szCs w:val="52"/>
        </w:rPr>
        <w:t>竞商</w:t>
      </w:r>
      <w:r>
        <w:rPr>
          <w:rFonts w:eastAsia="方正小标宋简体"/>
          <w:color w:val="000000" w:themeColor="text1"/>
          <w:sz w:val="52"/>
          <w:szCs w:val="52"/>
        </w:rPr>
        <w:t>文件</w:t>
      </w:r>
      <w:bookmarkEnd w:id="1160"/>
    </w:p>
    <w:p w14:paraId="7158FB33">
      <w:pPr>
        <w:jc w:val="center"/>
        <w:rPr>
          <w:rFonts w:eastAsia="方正小标宋简体"/>
          <w:color w:val="auto"/>
          <w:sz w:val="28"/>
          <w:szCs w:val="28"/>
        </w:rPr>
      </w:pPr>
    </w:p>
    <w:p w14:paraId="519B14A0">
      <w:pPr>
        <w:ind w:firstLine="2720" w:firstLineChars="850"/>
        <w:outlineLvl w:val="0"/>
        <w:rPr>
          <w:rFonts w:hint="default" w:eastAsia="宋体"/>
          <w:color w:val="auto"/>
          <w:sz w:val="28"/>
          <w:szCs w:val="28"/>
          <w:lang w:val="en-US" w:eastAsia="zh-CN"/>
        </w:rPr>
      </w:pPr>
      <w:r>
        <w:rPr>
          <w:rFonts w:hint="eastAsia" w:eastAsia="方正小标宋简体"/>
          <w:bCs/>
          <w:color w:val="auto"/>
          <w:sz w:val="32"/>
          <w:szCs w:val="32"/>
        </w:rPr>
        <w:t>招商编号：</w:t>
      </w:r>
      <w:r>
        <w:rPr>
          <w:color w:val="auto"/>
        </w:rPr>
        <w:t>SL-</w:t>
      </w:r>
      <w:r>
        <w:rPr>
          <w:rFonts w:hint="eastAsia"/>
          <w:color w:val="auto"/>
          <w:lang w:val="en-US" w:eastAsia="zh-CN"/>
        </w:rPr>
        <w:t>2025</w:t>
      </w:r>
      <w:r>
        <w:rPr>
          <w:color w:val="auto"/>
        </w:rPr>
        <w:t>-</w:t>
      </w:r>
      <w:r>
        <w:rPr>
          <w:rFonts w:hint="eastAsia"/>
          <w:color w:val="auto"/>
          <w:lang w:val="en-US" w:eastAsia="zh-CN"/>
        </w:rPr>
        <w:t>9</w:t>
      </w:r>
      <w:r>
        <w:rPr>
          <w:color w:val="auto"/>
        </w:rPr>
        <w:t>-</w:t>
      </w:r>
      <w:r>
        <w:rPr>
          <w:rFonts w:hint="eastAsia"/>
          <w:color w:val="auto"/>
          <w:lang w:val="en-US" w:eastAsia="zh-CN"/>
        </w:rPr>
        <w:t>25</w:t>
      </w:r>
    </w:p>
    <w:p w14:paraId="373E1931">
      <w:pPr>
        <w:rPr>
          <w:rFonts w:eastAsia="方正小标宋简体"/>
          <w:color w:val="auto"/>
          <w:sz w:val="28"/>
          <w:szCs w:val="28"/>
        </w:rPr>
      </w:pPr>
    </w:p>
    <w:p w14:paraId="225CC62A">
      <w:pPr>
        <w:rPr>
          <w:rFonts w:eastAsia="方正小标宋简体"/>
          <w:color w:val="000000" w:themeColor="text1"/>
          <w:sz w:val="28"/>
          <w:szCs w:val="28"/>
        </w:rPr>
      </w:pPr>
    </w:p>
    <w:p w14:paraId="7B3F7535">
      <w:pPr>
        <w:rPr>
          <w:rFonts w:eastAsia="方正小标宋简体"/>
          <w:color w:val="000000" w:themeColor="text1"/>
          <w:sz w:val="28"/>
          <w:szCs w:val="28"/>
        </w:rPr>
      </w:pPr>
    </w:p>
    <w:p w14:paraId="71F748E6">
      <w:pPr>
        <w:rPr>
          <w:rFonts w:eastAsia="方正小标宋简体"/>
          <w:color w:val="000000" w:themeColor="text1"/>
          <w:sz w:val="28"/>
          <w:szCs w:val="28"/>
        </w:rPr>
      </w:pPr>
    </w:p>
    <w:p w14:paraId="20C71181">
      <w:pPr>
        <w:rPr>
          <w:rFonts w:eastAsia="方正小标宋简体"/>
          <w:color w:val="000000" w:themeColor="text1"/>
          <w:sz w:val="28"/>
          <w:szCs w:val="28"/>
        </w:rPr>
      </w:pPr>
    </w:p>
    <w:p w14:paraId="5194BC05">
      <w:pPr>
        <w:rPr>
          <w:rFonts w:eastAsia="方正小标宋简体"/>
          <w:color w:val="000000" w:themeColor="text1"/>
          <w:sz w:val="28"/>
          <w:szCs w:val="28"/>
        </w:rPr>
      </w:pPr>
    </w:p>
    <w:p w14:paraId="0EAE623D">
      <w:pPr>
        <w:rPr>
          <w:rFonts w:eastAsia="方正小标宋简体"/>
          <w:color w:val="000000" w:themeColor="text1"/>
          <w:sz w:val="28"/>
          <w:szCs w:val="28"/>
        </w:rPr>
      </w:pPr>
    </w:p>
    <w:p w14:paraId="17781513">
      <w:pPr>
        <w:rPr>
          <w:rFonts w:eastAsia="方正小标宋简体"/>
          <w:color w:val="000000" w:themeColor="text1"/>
          <w:sz w:val="28"/>
          <w:szCs w:val="28"/>
        </w:rPr>
      </w:pPr>
    </w:p>
    <w:p w14:paraId="090D42A9">
      <w:pPr>
        <w:rPr>
          <w:rFonts w:eastAsia="方正小标宋简体"/>
          <w:color w:val="000000" w:themeColor="text1"/>
          <w:sz w:val="28"/>
          <w:szCs w:val="28"/>
        </w:rPr>
      </w:pPr>
    </w:p>
    <w:p w14:paraId="4C208ACE">
      <w:pPr>
        <w:rPr>
          <w:rFonts w:eastAsia="方正小标宋简体"/>
          <w:color w:val="000000" w:themeColor="text1"/>
          <w:szCs w:val="28"/>
        </w:rPr>
      </w:pPr>
    </w:p>
    <w:p w14:paraId="6BB1B632">
      <w:pPr>
        <w:spacing w:line="360" w:lineRule="auto"/>
        <w:ind w:firstLine="2730" w:firstLineChars="975"/>
        <w:rPr>
          <w:rFonts w:eastAsia="方正小标宋简体"/>
          <w:color w:val="000000" w:themeColor="text1"/>
          <w:sz w:val="28"/>
          <w:szCs w:val="28"/>
          <w:u w:val="single"/>
        </w:rPr>
      </w:pPr>
      <w:r>
        <w:rPr>
          <w:rFonts w:hint="eastAsia" w:eastAsia="方正小标宋简体"/>
          <w:color w:val="000000" w:themeColor="text1"/>
          <w:sz w:val="28"/>
          <w:szCs w:val="28"/>
        </w:rPr>
        <w:t>竞商</w:t>
      </w:r>
      <w:r>
        <w:rPr>
          <w:rFonts w:eastAsia="方正小标宋简体"/>
          <w:color w:val="000000" w:themeColor="text1"/>
          <w:sz w:val="28"/>
          <w:szCs w:val="28"/>
        </w:rPr>
        <w:t>人</w:t>
      </w:r>
      <w:r>
        <w:rPr>
          <w:rFonts w:hint="eastAsia" w:eastAsia="方正小标宋简体"/>
          <w:color w:val="000000" w:themeColor="text1"/>
          <w:sz w:val="28"/>
          <w:szCs w:val="28"/>
        </w:rPr>
        <w:t>名称</w:t>
      </w:r>
      <w:r>
        <w:rPr>
          <w:rFonts w:eastAsia="方正小标宋简体"/>
          <w:color w:val="000000" w:themeColor="text1"/>
          <w:sz w:val="28"/>
          <w:szCs w:val="28"/>
        </w:rPr>
        <w:t>：（加盖公章）</w:t>
      </w:r>
    </w:p>
    <w:p w14:paraId="2C516395">
      <w:pPr>
        <w:spacing w:line="360" w:lineRule="auto"/>
        <w:ind w:firstLine="2310" w:firstLineChars="825"/>
        <w:rPr>
          <w:rFonts w:eastAsia="方正小标宋简体"/>
          <w:color w:val="000000" w:themeColor="text1"/>
          <w:sz w:val="28"/>
          <w:szCs w:val="28"/>
        </w:rPr>
      </w:pPr>
      <w:r>
        <w:rPr>
          <w:rFonts w:eastAsia="方正小标宋简体"/>
          <w:color w:val="000000" w:themeColor="text1"/>
          <w:sz w:val="28"/>
          <w:szCs w:val="28"/>
        </w:rPr>
        <w:t>法定代表人或委托代理人：（签字）</w:t>
      </w:r>
    </w:p>
    <w:p w14:paraId="49EF0D0F">
      <w:pPr>
        <w:spacing w:line="360" w:lineRule="auto"/>
        <w:ind w:firstLine="3603" w:firstLineChars="1287"/>
        <w:rPr>
          <w:rFonts w:eastAsia="方正小标宋简体"/>
          <w:color w:val="000000" w:themeColor="text1"/>
          <w:sz w:val="28"/>
          <w:szCs w:val="28"/>
        </w:rPr>
      </w:pPr>
      <w:r>
        <w:rPr>
          <w:rFonts w:eastAsia="方正小标宋简体"/>
          <w:color w:val="000000" w:themeColor="text1"/>
          <w:sz w:val="28"/>
          <w:szCs w:val="28"/>
        </w:rPr>
        <w:t>年</w:t>
      </w:r>
      <w:r>
        <w:rPr>
          <w:rFonts w:hint="eastAsia" w:eastAsia="方正小标宋简体"/>
          <w:color w:val="000000" w:themeColor="text1"/>
          <w:sz w:val="28"/>
          <w:szCs w:val="28"/>
        </w:rPr>
        <w:t xml:space="preserve">  </w:t>
      </w:r>
      <w:r>
        <w:rPr>
          <w:rFonts w:eastAsia="方正小标宋简体"/>
          <w:color w:val="000000" w:themeColor="text1"/>
          <w:sz w:val="28"/>
          <w:szCs w:val="28"/>
        </w:rPr>
        <w:t>月</w:t>
      </w:r>
      <w:r>
        <w:rPr>
          <w:rFonts w:hint="eastAsia" w:eastAsia="方正小标宋简体"/>
          <w:color w:val="000000" w:themeColor="text1"/>
          <w:sz w:val="28"/>
          <w:szCs w:val="28"/>
        </w:rPr>
        <w:t xml:space="preserve">   </w:t>
      </w:r>
      <w:r>
        <w:rPr>
          <w:rFonts w:eastAsia="方正小标宋简体"/>
          <w:color w:val="000000" w:themeColor="text1"/>
          <w:sz w:val="28"/>
          <w:szCs w:val="28"/>
        </w:rPr>
        <w:t>日</w:t>
      </w:r>
    </w:p>
    <w:p w14:paraId="57F3A3DA">
      <w:pPr>
        <w:pStyle w:val="126"/>
        <w:spacing w:before="0" w:after="0" w:line="360" w:lineRule="auto"/>
        <w:rPr>
          <w:rFonts w:ascii="Times New Roman"/>
          <w:color w:val="000000" w:themeColor="text1"/>
        </w:rPr>
      </w:pPr>
    </w:p>
    <w:p w14:paraId="27B9787C">
      <w:pPr>
        <w:pStyle w:val="126"/>
        <w:spacing w:before="0" w:after="0" w:line="360" w:lineRule="auto"/>
        <w:rPr>
          <w:rFonts w:ascii="Times New Roman"/>
          <w:color w:val="000000" w:themeColor="text1"/>
        </w:rPr>
      </w:pPr>
    </w:p>
    <w:p w14:paraId="3BD63F39">
      <w:pPr>
        <w:pStyle w:val="126"/>
        <w:spacing w:before="0" w:after="0" w:line="360" w:lineRule="auto"/>
        <w:rPr>
          <w:rFonts w:ascii="Times New Roman"/>
          <w:color w:val="000000" w:themeColor="text1"/>
        </w:rPr>
      </w:pPr>
    </w:p>
    <w:p w14:paraId="201D54C7">
      <w:pPr>
        <w:pStyle w:val="126"/>
        <w:spacing w:before="0" w:after="0" w:line="360" w:lineRule="auto"/>
        <w:rPr>
          <w:rFonts w:ascii="Times New Roman"/>
          <w:color w:val="000000" w:themeColor="text1"/>
        </w:rPr>
      </w:pPr>
    </w:p>
    <w:p w14:paraId="30DA417A">
      <w:pPr>
        <w:pStyle w:val="126"/>
        <w:spacing w:before="0" w:after="0" w:line="360" w:lineRule="auto"/>
        <w:outlineLvl w:val="0"/>
        <w:rPr>
          <w:rFonts w:ascii="Times New Roman"/>
          <w:color w:val="000000" w:themeColor="text1"/>
        </w:rPr>
      </w:pPr>
      <w:bookmarkStart w:id="1161" w:name="_Toc22608"/>
      <w:r>
        <w:rPr>
          <w:rFonts w:ascii="Times New Roman"/>
          <w:color w:val="000000" w:themeColor="text1"/>
        </w:rPr>
        <w:t>格式1  竞商申请函</w:t>
      </w:r>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61"/>
    </w:p>
    <w:p w14:paraId="7D8A68B3">
      <w:pPr>
        <w:autoSpaceDE w:val="0"/>
        <w:autoSpaceDN w:val="0"/>
        <w:spacing w:line="360" w:lineRule="auto"/>
        <w:textAlignment w:val="bottom"/>
        <w:rPr>
          <w:color w:val="000000" w:themeColor="text1"/>
        </w:rPr>
      </w:pPr>
      <w:r>
        <w:rPr>
          <w:color w:val="000000" w:themeColor="text1"/>
        </w:rPr>
        <w:t>致：（招商单位）</w:t>
      </w:r>
    </w:p>
    <w:p w14:paraId="5355A8F0">
      <w:pPr>
        <w:pStyle w:val="13"/>
        <w:spacing w:line="360" w:lineRule="auto"/>
        <w:rPr>
          <w:color w:val="000000" w:themeColor="text1"/>
        </w:rPr>
      </w:pPr>
      <w:r>
        <w:rPr>
          <w:color w:val="000000" w:themeColor="text1"/>
        </w:rPr>
        <w:t>根据贵方发出的</w:t>
      </w:r>
      <w:r>
        <w:rPr>
          <w:rFonts w:hint="eastAsia"/>
          <w:color w:val="000000" w:themeColor="text1"/>
          <w:u w:val="single"/>
          <w:lang w:val="en-US" w:eastAsia="zh-CN"/>
        </w:rPr>
        <w:t xml:space="preserve">                                  </w:t>
      </w:r>
      <w:r>
        <w:rPr>
          <w:rFonts w:hint="eastAsia"/>
          <w:bCs/>
          <w:color w:val="000000" w:themeColor="text1"/>
          <w:u w:val="single"/>
        </w:rPr>
        <w:t>项目</w:t>
      </w:r>
      <w:r>
        <w:rPr>
          <w:color w:val="000000" w:themeColor="text1"/>
        </w:rPr>
        <w:t>（招商编号</w:t>
      </w:r>
      <w:r>
        <w:rPr>
          <w:color w:val="auto"/>
        </w:rPr>
        <w:t>：</w:t>
      </w:r>
      <w:r>
        <w:rPr>
          <w:rFonts w:hint="eastAsia"/>
          <w:color w:val="auto"/>
          <w:u w:val="single"/>
          <w:lang w:val="en-US" w:eastAsia="zh-CN"/>
        </w:rPr>
        <w:t xml:space="preserve">            </w:t>
      </w:r>
      <w:r>
        <w:rPr>
          <w:color w:val="000000" w:themeColor="text1"/>
        </w:rPr>
        <w:t>），现获得正式授权的下列签字人（姓名和职务）代表竞商人（竞商人的名称），提交下述竞商文件正本</w:t>
      </w:r>
      <w:r>
        <w:rPr>
          <w:rFonts w:hint="eastAsia"/>
          <w:color w:val="000000" w:themeColor="text1"/>
        </w:rPr>
        <w:t>1</w:t>
      </w:r>
      <w:r>
        <w:rPr>
          <w:color w:val="000000" w:themeColor="text1"/>
        </w:rPr>
        <w:t>份，副本</w:t>
      </w:r>
      <w:r>
        <w:rPr>
          <w:rFonts w:hint="eastAsia"/>
          <w:color w:val="000000" w:themeColor="text1"/>
        </w:rPr>
        <w:t>5</w:t>
      </w:r>
      <w:r>
        <w:rPr>
          <w:color w:val="000000" w:themeColor="text1"/>
        </w:rPr>
        <w:t>份，电子文件U盘</w:t>
      </w:r>
      <w:r>
        <w:rPr>
          <w:rFonts w:hint="eastAsia"/>
          <w:color w:val="000000" w:themeColor="text1"/>
        </w:rPr>
        <w:t>1</w:t>
      </w:r>
      <w:r>
        <w:rPr>
          <w:color w:val="000000" w:themeColor="text1"/>
        </w:rPr>
        <w:t>份：</w:t>
      </w:r>
    </w:p>
    <w:p w14:paraId="34CD9E2F">
      <w:pPr>
        <w:pStyle w:val="8"/>
        <w:numPr>
          <w:ilvl w:val="0"/>
          <w:numId w:val="18"/>
        </w:numPr>
        <w:spacing w:line="360" w:lineRule="auto"/>
        <w:ind w:left="426" w:hanging="426"/>
        <w:rPr>
          <w:color w:val="000000" w:themeColor="text1"/>
        </w:rPr>
      </w:pPr>
      <w:r>
        <w:rPr>
          <w:color w:val="000000" w:themeColor="text1"/>
        </w:rPr>
        <w:t>竞商申请函；</w:t>
      </w:r>
    </w:p>
    <w:p w14:paraId="7B2471F5">
      <w:pPr>
        <w:pStyle w:val="8"/>
        <w:numPr>
          <w:ilvl w:val="0"/>
          <w:numId w:val="18"/>
        </w:numPr>
        <w:spacing w:line="360" w:lineRule="auto"/>
        <w:ind w:left="426" w:hanging="426"/>
        <w:rPr>
          <w:color w:val="000000" w:themeColor="text1"/>
        </w:rPr>
      </w:pPr>
      <w:r>
        <w:rPr>
          <w:color w:val="000000" w:themeColor="text1"/>
        </w:rPr>
        <w:t>法定代表人证明书，及法定代表人授权书；</w:t>
      </w:r>
    </w:p>
    <w:p w14:paraId="5405C364">
      <w:pPr>
        <w:pStyle w:val="8"/>
        <w:numPr>
          <w:ilvl w:val="0"/>
          <w:numId w:val="18"/>
        </w:numPr>
        <w:spacing w:line="360" w:lineRule="auto"/>
        <w:ind w:left="426" w:hanging="426"/>
        <w:rPr>
          <w:color w:val="000000" w:themeColor="text1"/>
        </w:rPr>
      </w:pPr>
      <w:r>
        <w:rPr>
          <w:color w:val="000000" w:themeColor="text1"/>
        </w:rPr>
        <w:t>金额为人民币</w:t>
      </w:r>
      <w:r>
        <w:rPr>
          <w:rFonts w:hint="eastAsia"/>
          <w:color w:val="000000" w:themeColor="text1"/>
          <w:u w:val="single"/>
        </w:rPr>
        <w:t xml:space="preserve">      </w:t>
      </w:r>
      <w:r>
        <w:rPr>
          <w:color w:val="000000" w:themeColor="text1"/>
        </w:rPr>
        <w:t>元（￥）的竞商保证金；</w:t>
      </w:r>
    </w:p>
    <w:p w14:paraId="0D811F8C">
      <w:pPr>
        <w:pStyle w:val="8"/>
        <w:numPr>
          <w:ilvl w:val="0"/>
          <w:numId w:val="18"/>
        </w:numPr>
        <w:spacing w:line="360" w:lineRule="auto"/>
        <w:ind w:left="426" w:hanging="426"/>
        <w:rPr>
          <w:color w:val="000000" w:themeColor="text1"/>
        </w:rPr>
      </w:pPr>
      <w:r>
        <w:rPr>
          <w:color w:val="000000" w:themeColor="text1"/>
        </w:rPr>
        <w:t>竞商人资格证明文件；</w:t>
      </w:r>
    </w:p>
    <w:p w14:paraId="709FE506">
      <w:pPr>
        <w:pStyle w:val="8"/>
        <w:numPr>
          <w:ilvl w:val="0"/>
          <w:numId w:val="18"/>
        </w:numPr>
        <w:spacing w:line="360" w:lineRule="auto"/>
        <w:ind w:left="426" w:hanging="426"/>
        <w:rPr>
          <w:color w:val="000000" w:themeColor="text1"/>
        </w:rPr>
      </w:pPr>
      <w:r>
        <w:rPr>
          <w:color w:val="000000" w:themeColor="text1"/>
        </w:rPr>
        <w:t>我方认为有利于提高竞商力的其他内容。</w:t>
      </w:r>
    </w:p>
    <w:p w14:paraId="0584304A">
      <w:pPr>
        <w:pStyle w:val="13"/>
        <w:spacing w:line="360" w:lineRule="auto"/>
        <w:rPr>
          <w:color w:val="000000" w:themeColor="text1"/>
        </w:rPr>
      </w:pPr>
      <w:r>
        <w:rPr>
          <w:color w:val="000000" w:themeColor="text1"/>
        </w:rPr>
        <w:t>我方特此申明，我方递交的上述竞商文件的内容均是真实、可信的。</w:t>
      </w:r>
    </w:p>
    <w:p w14:paraId="09DC1C58">
      <w:pPr>
        <w:pStyle w:val="13"/>
        <w:spacing w:line="360" w:lineRule="auto"/>
        <w:rPr>
          <w:color w:val="000000" w:themeColor="text1"/>
        </w:rPr>
      </w:pPr>
      <w:r>
        <w:rPr>
          <w:color w:val="000000" w:themeColor="text1"/>
        </w:rPr>
        <w:t>据此函，签字人兹宣布同意如下：</w:t>
      </w:r>
    </w:p>
    <w:p w14:paraId="6FEF290D">
      <w:pPr>
        <w:pStyle w:val="8"/>
        <w:numPr>
          <w:ilvl w:val="0"/>
          <w:numId w:val="19"/>
        </w:numPr>
        <w:spacing w:line="360" w:lineRule="auto"/>
        <w:ind w:left="425" w:hanging="424" w:hangingChars="177"/>
        <w:rPr>
          <w:color w:val="000000" w:themeColor="text1"/>
        </w:rPr>
      </w:pPr>
      <w:r>
        <w:rPr>
          <w:color w:val="000000" w:themeColor="text1"/>
        </w:rPr>
        <w:t>我</w:t>
      </w:r>
      <w:r>
        <w:rPr>
          <w:rFonts w:hint="eastAsia"/>
          <w:color w:val="000000" w:themeColor="text1"/>
        </w:rPr>
        <w:t>方</w:t>
      </w:r>
      <w:r>
        <w:rPr>
          <w:color w:val="000000" w:themeColor="text1"/>
        </w:rPr>
        <w:t>确认</w:t>
      </w:r>
      <w:r>
        <w:rPr>
          <w:rFonts w:hint="eastAsia"/>
          <w:color w:val="000000" w:themeColor="text1"/>
        </w:rPr>
        <w:t>本</w:t>
      </w:r>
      <w:r>
        <w:rPr>
          <w:color w:val="000000" w:themeColor="text1"/>
        </w:rPr>
        <w:t>项目的</w:t>
      </w:r>
      <w:r>
        <w:rPr>
          <w:rFonts w:hint="eastAsia"/>
          <w:color w:val="000000" w:themeColor="text1"/>
        </w:rPr>
        <w:t>竞商，</w:t>
      </w:r>
      <w:r>
        <w:rPr>
          <w:color w:val="000000" w:themeColor="text1"/>
        </w:rPr>
        <w:t>我方同意按招商文件的规定提供服务的竞商报价</w:t>
      </w:r>
      <w:r>
        <w:rPr>
          <w:rFonts w:hint="eastAsia"/>
          <w:color w:val="000000" w:themeColor="text1"/>
        </w:rPr>
        <w:t>，具体</w:t>
      </w:r>
      <w:r>
        <w:rPr>
          <w:color w:val="000000" w:themeColor="text1"/>
        </w:rPr>
        <w:t>见竞商报价函。</w:t>
      </w:r>
    </w:p>
    <w:p w14:paraId="2264B2AD">
      <w:pPr>
        <w:pStyle w:val="8"/>
        <w:numPr>
          <w:ilvl w:val="0"/>
          <w:numId w:val="19"/>
        </w:numPr>
        <w:spacing w:line="360" w:lineRule="auto"/>
        <w:ind w:left="425" w:hanging="424" w:hangingChars="177"/>
        <w:rPr>
          <w:color w:val="000000" w:themeColor="text1"/>
        </w:rPr>
      </w:pPr>
      <w:r>
        <w:rPr>
          <w:color w:val="000000" w:themeColor="text1"/>
        </w:rPr>
        <w:t>我方将按招商文件的规定，承担完成合同规定的责任和义务。</w:t>
      </w:r>
    </w:p>
    <w:p w14:paraId="02EF5B9B">
      <w:pPr>
        <w:pStyle w:val="8"/>
        <w:numPr>
          <w:ilvl w:val="0"/>
          <w:numId w:val="19"/>
        </w:numPr>
        <w:spacing w:line="360" w:lineRule="auto"/>
        <w:ind w:left="425" w:hanging="424" w:hangingChars="177"/>
        <w:rPr>
          <w:color w:val="000000" w:themeColor="text1"/>
        </w:rPr>
      </w:pPr>
      <w:r>
        <w:rPr>
          <w:color w:val="000000" w:themeColor="text1"/>
        </w:rPr>
        <w:t>我方已详细审核了全部招商文件，包括对招商文件的补遗或修改（若有）、我方完全理解并同意放弃对上述文件中所有条款提出存有含糊不清或不理解之问题的权利。</w:t>
      </w:r>
    </w:p>
    <w:p w14:paraId="56695EDF">
      <w:pPr>
        <w:pStyle w:val="8"/>
        <w:numPr>
          <w:ilvl w:val="0"/>
          <w:numId w:val="19"/>
        </w:numPr>
        <w:spacing w:line="360" w:lineRule="auto"/>
        <w:ind w:left="425" w:hanging="424" w:hangingChars="177"/>
        <w:rPr>
          <w:color w:val="000000" w:themeColor="text1"/>
        </w:rPr>
      </w:pPr>
      <w:r>
        <w:rPr>
          <w:color w:val="000000" w:themeColor="text1"/>
        </w:rPr>
        <w:t>我方同意在“竞商人须知”第</w:t>
      </w:r>
      <w:r>
        <w:fldChar w:fldCharType="begin"/>
      </w:r>
      <w:r>
        <w:instrText xml:space="preserve"> REF _Ref66857108 \r \h  \* MERGEFORMAT </w:instrText>
      </w:r>
      <w:r>
        <w:fldChar w:fldCharType="separate"/>
      </w:r>
      <w:r>
        <w:rPr>
          <w:color w:val="000000" w:themeColor="text1"/>
        </w:rPr>
        <w:t>16.1</w:t>
      </w:r>
      <w:r>
        <w:rPr>
          <w:color w:val="000000" w:themeColor="text1"/>
        </w:rPr>
        <w:fldChar w:fldCharType="end"/>
      </w:r>
      <w:r>
        <w:rPr>
          <w:color w:val="000000" w:themeColor="text1"/>
        </w:rPr>
        <w:t>条所述的竞商截止时间起遵循本竞商书的规定，并在竞商截止时间后的120天内（见“竞商人须知”第</w:t>
      </w:r>
      <w:r>
        <w:fldChar w:fldCharType="begin"/>
      </w:r>
      <w:r>
        <w:instrText xml:space="preserve"> REF _Ref51334367 \r \h  \* MERGEFORMAT </w:instrText>
      </w:r>
      <w:r>
        <w:fldChar w:fldCharType="separate"/>
      </w:r>
      <w:r>
        <w:rPr>
          <w:color w:val="000000" w:themeColor="text1"/>
        </w:rPr>
        <w:t>12</w:t>
      </w:r>
      <w:r>
        <w:rPr>
          <w:color w:val="000000" w:themeColor="text1"/>
        </w:rPr>
        <w:fldChar w:fldCharType="end"/>
      </w:r>
      <w:r>
        <w:rPr>
          <w:color w:val="000000" w:themeColor="text1"/>
        </w:rPr>
        <w:t>条规定的竞商有效期）均对我方具有约束力。</w:t>
      </w:r>
    </w:p>
    <w:p w14:paraId="64BFA868">
      <w:pPr>
        <w:pStyle w:val="8"/>
        <w:numPr>
          <w:ilvl w:val="0"/>
          <w:numId w:val="19"/>
        </w:numPr>
        <w:spacing w:line="360" w:lineRule="auto"/>
        <w:ind w:left="425" w:right="-113" w:rightChars="-47" w:hanging="424" w:hangingChars="177"/>
        <w:rPr>
          <w:color w:val="000000" w:themeColor="text1"/>
        </w:rPr>
      </w:pPr>
      <w:r>
        <w:rPr>
          <w:color w:val="000000" w:themeColor="text1"/>
        </w:rPr>
        <w:t>如果在竞商截止时间后</w:t>
      </w:r>
      <w:r>
        <w:rPr>
          <w:rFonts w:hint="eastAsia"/>
          <w:color w:val="000000" w:themeColor="text1"/>
        </w:rPr>
        <w:t>我方</w:t>
      </w:r>
      <w:r>
        <w:rPr>
          <w:color w:val="000000" w:themeColor="text1"/>
        </w:rPr>
        <w:t>承诺的竞商有效期内撤</w:t>
      </w:r>
      <w:r>
        <w:rPr>
          <w:rFonts w:hint="eastAsia"/>
          <w:color w:val="000000" w:themeColor="text1"/>
        </w:rPr>
        <w:t>销</w:t>
      </w:r>
      <w:r>
        <w:rPr>
          <w:color w:val="000000" w:themeColor="text1"/>
        </w:rPr>
        <w:t>竞商，我方的竞商保证金不予退还。</w:t>
      </w:r>
    </w:p>
    <w:p w14:paraId="4911D5F9">
      <w:pPr>
        <w:pStyle w:val="8"/>
        <w:numPr>
          <w:ilvl w:val="0"/>
          <w:numId w:val="19"/>
        </w:numPr>
        <w:spacing w:line="360" w:lineRule="auto"/>
        <w:ind w:left="425" w:hanging="424" w:hangingChars="177"/>
        <w:rPr>
          <w:color w:val="000000" w:themeColor="text1"/>
        </w:rPr>
      </w:pPr>
      <w:r>
        <w:rPr>
          <w:color w:val="000000" w:themeColor="text1"/>
        </w:rPr>
        <w:t>进一步提供贵方可能要求的与本竞商有关的任何证据或资料。</w:t>
      </w:r>
    </w:p>
    <w:p w14:paraId="641CA5F8">
      <w:pPr>
        <w:pStyle w:val="8"/>
        <w:numPr>
          <w:ilvl w:val="0"/>
          <w:numId w:val="19"/>
        </w:numPr>
        <w:spacing w:line="360" w:lineRule="auto"/>
        <w:ind w:left="425" w:hanging="424" w:hangingChars="177"/>
        <w:rPr>
          <w:color w:val="000000" w:themeColor="text1"/>
        </w:rPr>
      </w:pPr>
      <w:r>
        <w:rPr>
          <w:color w:val="000000" w:themeColor="text1"/>
        </w:rPr>
        <w:t>如果</w:t>
      </w:r>
      <w:r>
        <w:rPr>
          <w:rFonts w:hint="eastAsia"/>
          <w:color w:val="000000" w:themeColor="text1"/>
        </w:rPr>
        <w:t>中商</w:t>
      </w:r>
      <w:r>
        <w:rPr>
          <w:color w:val="000000" w:themeColor="text1"/>
        </w:rPr>
        <w:t>，我方完全接受招商</w:t>
      </w:r>
      <w:r>
        <w:rPr>
          <w:rFonts w:hint="eastAsia"/>
          <w:color w:val="000000" w:themeColor="text1"/>
        </w:rPr>
        <w:t>人</w:t>
      </w:r>
      <w:r>
        <w:rPr>
          <w:color w:val="000000" w:themeColor="text1"/>
        </w:rPr>
        <w:t>所提供的合同。</w:t>
      </w:r>
    </w:p>
    <w:p w14:paraId="4274C3AA">
      <w:pPr>
        <w:spacing w:line="360" w:lineRule="auto"/>
        <w:rPr>
          <w:color w:val="000000" w:themeColor="text1"/>
        </w:rPr>
      </w:pPr>
    </w:p>
    <w:p w14:paraId="2DDDA2BC">
      <w:pPr>
        <w:pStyle w:val="63"/>
        <w:rPr>
          <w:color w:val="000000" w:themeColor="text1"/>
        </w:rPr>
      </w:pPr>
    </w:p>
    <w:p w14:paraId="3E1AEB58"/>
    <w:p w14:paraId="16F55EE6">
      <w:pPr>
        <w:spacing w:line="360" w:lineRule="auto"/>
        <w:rPr>
          <w:color w:val="000000" w:themeColor="text1"/>
        </w:rPr>
      </w:pPr>
      <w:r>
        <w:rPr>
          <w:color w:val="000000" w:themeColor="text1"/>
        </w:rPr>
        <w:t>（此页无正文）</w:t>
      </w:r>
    </w:p>
    <w:p w14:paraId="2EFAA154">
      <w:pPr>
        <w:pStyle w:val="13"/>
        <w:spacing w:line="360" w:lineRule="auto"/>
        <w:rPr>
          <w:color w:val="000000" w:themeColor="text1"/>
        </w:rPr>
      </w:pPr>
    </w:p>
    <w:p w14:paraId="4719B6A4">
      <w:pPr>
        <w:pStyle w:val="13"/>
        <w:spacing w:line="360" w:lineRule="auto"/>
        <w:rPr>
          <w:color w:val="000000" w:themeColor="text1"/>
        </w:rPr>
      </w:pPr>
    </w:p>
    <w:p w14:paraId="3A350176">
      <w:pPr>
        <w:pStyle w:val="13"/>
        <w:spacing w:line="360" w:lineRule="auto"/>
        <w:ind w:left="0" w:leftChars="0" w:firstLine="0" w:firstLineChars="0"/>
        <w:rPr>
          <w:color w:val="000000" w:themeColor="text1"/>
        </w:rPr>
      </w:pPr>
    </w:p>
    <w:p w14:paraId="463C3FFD">
      <w:pPr>
        <w:pStyle w:val="13"/>
        <w:spacing w:line="360" w:lineRule="auto"/>
        <w:rPr>
          <w:color w:val="000000" w:themeColor="text1"/>
        </w:rPr>
      </w:pPr>
      <w:r>
        <w:rPr>
          <w:color w:val="000000" w:themeColor="text1"/>
        </w:rPr>
        <w:t>与本竞商有关的正式通讯地址为：</w:t>
      </w:r>
    </w:p>
    <w:p w14:paraId="268C8648">
      <w:pPr>
        <w:pStyle w:val="13"/>
        <w:spacing w:line="360" w:lineRule="auto"/>
        <w:rPr>
          <w:color w:val="000000" w:themeColor="text1"/>
        </w:rPr>
      </w:pPr>
      <w:r>
        <w:rPr>
          <w:color w:val="000000" w:themeColor="text1"/>
        </w:rPr>
        <w:t>地址：</w:t>
      </w:r>
    </w:p>
    <w:p w14:paraId="23C61FAA">
      <w:pPr>
        <w:pStyle w:val="13"/>
        <w:tabs>
          <w:tab w:val="left" w:pos="4680"/>
          <w:tab w:val="left" w:pos="5387"/>
        </w:tabs>
        <w:spacing w:line="360" w:lineRule="auto"/>
        <w:rPr>
          <w:color w:val="000000" w:themeColor="text1"/>
        </w:rPr>
      </w:pPr>
      <w:r>
        <w:rPr>
          <w:color w:val="000000" w:themeColor="text1"/>
        </w:rPr>
        <w:t>邮政编码：</w:t>
      </w:r>
      <w:r>
        <w:rPr>
          <w:color w:val="000000" w:themeColor="text1"/>
          <w:u w:val="single"/>
        </w:rPr>
        <w:tab/>
      </w:r>
      <w:r>
        <w:rPr>
          <w:color w:val="000000" w:themeColor="text1"/>
        </w:rPr>
        <w:tab/>
      </w:r>
      <w:r>
        <w:rPr>
          <w:color w:val="000000" w:themeColor="text1"/>
        </w:rPr>
        <w:t>电话号码：</w:t>
      </w:r>
      <w:r>
        <w:rPr>
          <w:color w:val="000000" w:themeColor="text1"/>
          <w:u w:val="single"/>
        </w:rPr>
        <w:tab/>
      </w:r>
    </w:p>
    <w:p w14:paraId="2A582B63">
      <w:pPr>
        <w:pStyle w:val="13"/>
        <w:tabs>
          <w:tab w:val="left" w:pos="4680"/>
          <w:tab w:val="left" w:pos="5387"/>
        </w:tabs>
        <w:spacing w:line="360" w:lineRule="auto"/>
        <w:rPr>
          <w:color w:val="000000" w:themeColor="text1"/>
        </w:rPr>
      </w:pPr>
      <w:r>
        <w:rPr>
          <w:color w:val="000000" w:themeColor="text1"/>
        </w:rPr>
        <w:t>传真号码：</w:t>
      </w:r>
      <w:r>
        <w:rPr>
          <w:color w:val="000000" w:themeColor="text1"/>
          <w:u w:val="single"/>
        </w:rPr>
        <w:tab/>
      </w:r>
      <w:r>
        <w:rPr>
          <w:color w:val="000000" w:themeColor="text1"/>
        </w:rPr>
        <w:tab/>
      </w:r>
      <w:r>
        <w:rPr>
          <w:color w:val="000000" w:themeColor="text1"/>
        </w:rPr>
        <w:t>电子信箱：</w:t>
      </w:r>
      <w:r>
        <w:rPr>
          <w:color w:val="000000" w:themeColor="text1"/>
          <w:u w:val="single"/>
        </w:rPr>
        <w:tab/>
      </w:r>
    </w:p>
    <w:p w14:paraId="48111EEE">
      <w:pPr>
        <w:pStyle w:val="13"/>
        <w:tabs>
          <w:tab w:val="left" w:pos="4680"/>
          <w:tab w:val="left" w:pos="5387"/>
        </w:tabs>
        <w:spacing w:line="360" w:lineRule="auto"/>
        <w:rPr>
          <w:color w:val="000000" w:themeColor="text1"/>
        </w:rPr>
      </w:pPr>
      <w:r>
        <w:rPr>
          <w:color w:val="000000" w:themeColor="text1"/>
        </w:rPr>
        <w:t>法定代表人或其授权代表签名：</w:t>
      </w:r>
      <w:r>
        <w:rPr>
          <w:color w:val="000000" w:themeColor="text1"/>
          <w:u w:val="single"/>
        </w:rPr>
        <w:tab/>
      </w:r>
      <w:r>
        <w:rPr>
          <w:color w:val="000000" w:themeColor="text1"/>
        </w:rPr>
        <w:tab/>
      </w:r>
      <w:r>
        <w:rPr>
          <w:color w:val="000000" w:themeColor="text1"/>
        </w:rPr>
        <w:t>公章：</w:t>
      </w:r>
      <w:r>
        <w:rPr>
          <w:color w:val="000000" w:themeColor="text1"/>
          <w:u w:val="single"/>
        </w:rPr>
        <w:tab/>
      </w:r>
    </w:p>
    <w:p w14:paraId="3EE3A726">
      <w:pPr>
        <w:pStyle w:val="13"/>
        <w:spacing w:line="360" w:lineRule="auto"/>
        <w:rPr>
          <w:color w:val="000000" w:themeColor="text1"/>
        </w:rPr>
      </w:pPr>
      <w:r>
        <w:rPr>
          <w:color w:val="000000" w:themeColor="text1"/>
        </w:rPr>
        <w:t>日期：</w:t>
      </w:r>
      <w:r>
        <w:rPr>
          <w:rFonts w:hint="eastAsia"/>
          <w:color w:val="000000" w:themeColor="text1"/>
        </w:rPr>
        <w:t xml:space="preserve">  </w:t>
      </w:r>
      <w:r>
        <w:rPr>
          <w:color w:val="000000" w:themeColor="text1"/>
        </w:rPr>
        <w:t>年</w:t>
      </w:r>
      <w:r>
        <w:rPr>
          <w:rFonts w:hint="eastAsia"/>
          <w:color w:val="000000" w:themeColor="text1"/>
        </w:rPr>
        <w:t xml:space="preserve">  </w:t>
      </w:r>
      <w:r>
        <w:rPr>
          <w:color w:val="000000" w:themeColor="text1"/>
        </w:rPr>
        <w:t>月</w:t>
      </w:r>
      <w:r>
        <w:rPr>
          <w:rFonts w:hint="eastAsia"/>
          <w:color w:val="000000" w:themeColor="text1"/>
        </w:rPr>
        <w:t xml:space="preserve">  </w:t>
      </w:r>
      <w:r>
        <w:rPr>
          <w:color w:val="000000" w:themeColor="text1"/>
        </w:rPr>
        <w:t>日</w:t>
      </w:r>
    </w:p>
    <w:p w14:paraId="238D10D1">
      <w:pPr>
        <w:pStyle w:val="126"/>
        <w:spacing w:before="0" w:after="0" w:line="360" w:lineRule="auto"/>
        <w:rPr>
          <w:rFonts w:ascii="Times New Roman"/>
          <w:color w:val="000000" w:themeColor="text1"/>
        </w:rPr>
      </w:pPr>
    </w:p>
    <w:p w14:paraId="295038A2">
      <w:pPr>
        <w:rPr>
          <w:color w:val="000000" w:themeColor="text1"/>
        </w:rPr>
      </w:pPr>
    </w:p>
    <w:p w14:paraId="3515F30E">
      <w:pPr>
        <w:rPr>
          <w:color w:val="000000" w:themeColor="text1"/>
        </w:rPr>
      </w:pPr>
    </w:p>
    <w:p w14:paraId="295ECC91">
      <w:pPr>
        <w:rPr>
          <w:color w:val="000000" w:themeColor="text1"/>
        </w:rPr>
      </w:pPr>
    </w:p>
    <w:p w14:paraId="5D458032">
      <w:pPr>
        <w:rPr>
          <w:color w:val="000000" w:themeColor="text1"/>
        </w:rPr>
      </w:pPr>
    </w:p>
    <w:p w14:paraId="31AD7F87">
      <w:pPr>
        <w:rPr>
          <w:color w:val="000000" w:themeColor="text1"/>
        </w:rPr>
      </w:pPr>
    </w:p>
    <w:p w14:paraId="7888A3F7">
      <w:pPr>
        <w:rPr>
          <w:color w:val="000000" w:themeColor="text1"/>
        </w:rPr>
      </w:pPr>
    </w:p>
    <w:p w14:paraId="6B3F8A8E">
      <w:pPr>
        <w:rPr>
          <w:color w:val="000000" w:themeColor="text1"/>
        </w:rPr>
      </w:pPr>
    </w:p>
    <w:p w14:paraId="24EEEBFD">
      <w:pPr>
        <w:rPr>
          <w:color w:val="000000" w:themeColor="text1"/>
        </w:rPr>
      </w:pPr>
    </w:p>
    <w:p w14:paraId="72F7E2CF">
      <w:pPr>
        <w:pStyle w:val="63"/>
        <w:ind w:firstLine="420"/>
        <w:rPr>
          <w:color w:val="000000" w:themeColor="text1"/>
        </w:rPr>
      </w:pPr>
    </w:p>
    <w:p w14:paraId="2CAFDA7C">
      <w:pPr>
        <w:rPr>
          <w:color w:val="000000" w:themeColor="text1"/>
        </w:rPr>
      </w:pPr>
    </w:p>
    <w:p w14:paraId="30BD78B6">
      <w:pPr>
        <w:pStyle w:val="63"/>
        <w:ind w:firstLine="420"/>
        <w:rPr>
          <w:color w:val="000000" w:themeColor="text1"/>
        </w:rPr>
      </w:pPr>
    </w:p>
    <w:p w14:paraId="55A19028">
      <w:pPr>
        <w:rPr>
          <w:color w:val="000000" w:themeColor="text1"/>
        </w:rPr>
      </w:pPr>
    </w:p>
    <w:p w14:paraId="2177934C">
      <w:pPr>
        <w:pStyle w:val="63"/>
        <w:ind w:firstLine="420"/>
        <w:rPr>
          <w:color w:val="000000" w:themeColor="text1"/>
        </w:rPr>
      </w:pPr>
    </w:p>
    <w:p w14:paraId="0C54EA80">
      <w:pPr>
        <w:rPr>
          <w:color w:val="000000" w:themeColor="text1"/>
        </w:rPr>
      </w:pPr>
    </w:p>
    <w:p w14:paraId="67F5A40B">
      <w:pPr>
        <w:pStyle w:val="63"/>
        <w:ind w:firstLine="420"/>
        <w:rPr>
          <w:color w:val="000000" w:themeColor="text1"/>
        </w:rPr>
      </w:pPr>
    </w:p>
    <w:p w14:paraId="1F80E315">
      <w:pPr>
        <w:rPr>
          <w:color w:val="000000" w:themeColor="text1"/>
        </w:rPr>
      </w:pPr>
    </w:p>
    <w:p w14:paraId="760186D5">
      <w:pPr>
        <w:pStyle w:val="63"/>
        <w:ind w:firstLine="420"/>
        <w:rPr>
          <w:color w:val="000000" w:themeColor="text1"/>
        </w:rPr>
      </w:pPr>
    </w:p>
    <w:p w14:paraId="1E513E87">
      <w:pPr>
        <w:rPr>
          <w:color w:val="000000" w:themeColor="text1"/>
        </w:rPr>
      </w:pPr>
    </w:p>
    <w:p w14:paraId="11688AB0">
      <w:pPr>
        <w:pStyle w:val="63"/>
        <w:ind w:firstLine="420"/>
        <w:rPr>
          <w:color w:val="000000" w:themeColor="text1"/>
        </w:rPr>
      </w:pPr>
    </w:p>
    <w:p w14:paraId="415DE24B">
      <w:pPr>
        <w:rPr>
          <w:color w:val="000000" w:themeColor="text1"/>
        </w:rPr>
      </w:pPr>
    </w:p>
    <w:p w14:paraId="6A3818B0">
      <w:pPr>
        <w:pStyle w:val="63"/>
        <w:ind w:firstLine="420"/>
        <w:rPr>
          <w:color w:val="000000" w:themeColor="text1"/>
        </w:rPr>
      </w:pPr>
    </w:p>
    <w:p w14:paraId="4E89DA35">
      <w:pPr>
        <w:rPr>
          <w:color w:val="000000" w:themeColor="text1"/>
        </w:rPr>
      </w:pPr>
    </w:p>
    <w:p w14:paraId="464F6C0E">
      <w:pPr>
        <w:pStyle w:val="63"/>
        <w:ind w:firstLine="420"/>
        <w:rPr>
          <w:color w:val="000000" w:themeColor="text1"/>
        </w:rPr>
      </w:pPr>
    </w:p>
    <w:p w14:paraId="49AF43AF">
      <w:pPr>
        <w:rPr>
          <w:color w:val="000000" w:themeColor="text1"/>
        </w:rPr>
      </w:pPr>
    </w:p>
    <w:p w14:paraId="5595183D">
      <w:pPr>
        <w:pStyle w:val="63"/>
        <w:ind w:firstLine="420"/>
        <w:rPr>
          <w:color w:val="000000" w:themeColor="text1"/>
        </w:rPr>
      </w:pPr>
    </w:p>
    <w:p w14:paraId="15BD8D46">
      <w:pPr>
        <w:rPr>
          <w:color w:val="000000" w:themeColor="text1"/>
        </w:rPr>
      </w:pPr>
    </w:p>
    <w:p w14:paraId="4AAE0FDF">
      <w:pPr>
        <w:pStyle w:val="63"/>
        <w:ind w:firstLine="420"/>
        <w:rPr>
          <w:color w:val="000000" w:themeColor="text1"/>
        </w:rPr>
      </w:pPr>
    </w:p>
    <w:p w14:paraId="35A1D228">
      <w:pPr>
        <w:rPr>
          <w:color w:val="000000" w:themeColor="text1"/>
        </w:rPr>
      </w:pPr>
    </w:p>
    <w:p w14:paraId="17482563">
      <w:pPr>
        <w:pStyle w:val="63"/>
        <w:ind w:firstLine="420"/>
        <w:rPr>
          <w:color w:val="000000" w:themeColor="text1"/>
        </w:rPr>
      </w:pPr>
    </w:p>
    <w:p w14:paraId="59A70F3A">
      <w:pPr>
        <w:rPr>
          <w:color w:val="000000" w:themeColor="text1"/>
        </w:rPr>
      </w:pPr>
    </w:p>
    <w:p w14:paraId="52BC2501">
      <w:pPr>
        <w:pStyle w:val="63"/>
        <w:ind w:firstLine="420"/>
        <w:rPr>
          <w:color w:val="000000" w:themeColor="text1"/>
        </w:rPr>
      </w:pPr>
    </w:p>
    <w:p w14:paraId="4DFF428A">
      <w:pPr>
        <w:rPr>
          <w:color w:val="000000" w:themeColor="text1"/>
        </w:rPr>
      </w:pPr>
    </w:p>
    <w:p w14:paraId="7B28B9F1">
      <w:pPr>
        <w:pStyle w:val="63"/>
        <w:ind w:firstLine="420"/>
        <w:rPr>
          <w:color w:val="000000" w:themeColor="text1"/>
        </w:rPr>
      </w:pPr>
    </w:p>
    <w:p w14:paraId="54BD1A3F">
      <w:pPr>
        <w:rPr>
          <w:color w:val="000000" w:themeColor="text1"/>
        </w:rPr>
      </w:pPr>
    </w:p>
    <w:p w14:paraId="41C46996">
      <w:pPr>
        <w:pStyle w:val="63"/>
        <w:ind w:firstLine="420"/>
        <w:rPr>
          <w:color w:val="000000" w:themeColor="text1"/>
        </w:rPr>
      </w:pPr>
    </w:p>
    <w:p w14:paraId="521C95C9">
      <w:pPr>
        <w:rPr>
          <w:color w:val="000000" w:themeColor="text1"/>
        </w:rPr>
      </w:pPr>
    </w:p>
    <w:p w14:paraId="3A026EF7">
      <w:pPr>
        <w:pStyle w:val="63"/>
        <w:ind w:firstLine="420"/>
        <w:rPr>
          <w:color w:val="000000" w:themeColor="text1"/>
        </w:rPr>
      </w:pPr>
    </w:p>
    <w:p w14:paraId="23FD5564">
      <w:pPr>
        <w:rPr>
          <w:color w:val="000000" w:themeColor="text1"/>
        </w:rPr>
      </w:pPr>
    </w:p>
    <w:p w14:paraId="5D2DBAA3">
      <w:pPr>
        <w:pStyle w:val="63"/>
        <w:ind w:firstLine="420"/>
        <w:rPr>
          <w:color w:val="000000" w:themeColor="text1"/>
        </w:rPr>
      </w:pPr>
    </w:p>
    <w:p w14:paraId="59AFCFE1">
      <w:pPr>
        <w:rPr>
          <w:color w:val="000000" w:themeColor="text1"/>
        </w:rPr>
      </w:pPr>
    </w:p>
    <w:p w14:paraId="023DE1C4">
      <w:pPr>
        <w:pStyle w:val="126"/>
        <w:spacing w:before="0" w:after="0" w:line="360" w:lineRule="auto"/>
        <w:jc w:val="left"/>
        <w:outlineLvl w:val="0"/>
        <w:rPr>
          <w:rFonts w:ascii="Times New Roman" w:eastAsia="宋体"/>
          <w:color w:val="000000" w:themeColor="text1"/>
          <w:sz w:val="24"/>
        </w:rPr>
      </w:pPr>
    </w:p>
    <w:p w14:paraId="5D93A60E">
      <w:pPr>
        <w:pStyle w:val="126"/>
        <w:spacing w:before="0" w:after="0" w:line="360" w:lineRule="auto"/>
        <w:jc w:val="left"/>
        <w:outlineLvl w:val="0"/>
        <w:rPr>
          <w:rFonts w:ascii="宋体" w:hAnsi="宋体"/>
          <w:color w:val="000000" w:themeColor="text1"/>
        </w:rPr>
      </w:pPr>
      <w:r>
        <w:rPr>
          <w:rFonts w:hint="eastAsia"/>
          <w:color w:val="000000" w:themeColor="text1"/>
        </w:rPr>
        <w:t xml:space="preserve">                   </w:t>
      </w:r>
      <w:r>
        <w:rPr>
          <w:color w:val="000000" w:themeColor="text1"/>
        </w:rPr>
        <w:tab/>
      </w:r>
      <w:bookmarkStart w:id="1162" w:name="_Toc18848"/>
      <w:r>
        <w:rPr>
          <w:rFonts w:ascii="Times New Roman"/>
          <w:color w:val="000000" w:themeColor="text1"/>
        </w:rPr>
        <w:t>格式2竞商报价函</w:t>
      </w:r>
    </w:p>
    <w:bookmarkEnd w:id="1162"/>
    <w:p w14:paraId="5C2D5FE6">
      <w:pPr>
        <w:pStyle w:val="13"/>
        <w:spacing w:line="360" w:lineRule="auto"/>
        <w:ind w:firstLine="0"/>
        <w:rPr>
          <w:rFonts w:ascii="宋体" w:hAnsi="宋体"/>
          <w:color w:val="000000" w:themeColor="text1"/>
          <w:u w:val="single"/>
        </w:rPr>
      </w:pPr>
      <w:r>
        <w:rPr>
          <w:rFonts w:hint="eastAsia" w:ascii="宋体" w:hAnsi="宋体"/>
          <w:color w:val="000000" w:themeColor="text1"/>
        </w:rPr>
        <w:t>项目名称：</w:t>
      </w:r>
    </w:p>
    <w:p w14:paraId="546AF2C4">
      <w:pPr>
        <w:pStyle w:val="13"/>
        <w:spacing w:line="360" w:lineRule="auto"/>
        <w:ind w:firstLine="0"/>
        <w:rPr>
          <w:rFonts w:ascii="宋体" w:hAnsi="宋体"/>
          <w:color w:val="000000" w:themeColor="text1"/>
        </w:rPr>
      </w:pPr>
      <w:r>
        <w:rPr>
          <w:rFonts w:hint="eastAsia" w:ascii="宋体" w:hAnsi="宋体"/>
          <w:color w:val="000000" w:themeColor="text1"/>
        </w:rPr>
        <w:t>招商编号：</w:t>
      </w:r>
    </w:p>
    <w:p w14:paraId="1DFA3E37">
      <w:pPr>
        <w:pStyle w:val="3"/>
        <w:numPr>
          <w:ilvl w:val="0"/>
          <w:numId w:val="0"/>
        </w:numPr>
        <w:spacing w:afterLines="100" w:line="540" w:lineRule="exact"/>
        <w:ind w:firstLine="3080" w:firstLineChars="700"/>
        <w:rPr>
          <w:rFonts w:ascii="宋体" w:hAnsi="宋体"/>
          <w:color w:val="000000" w:themeColor="text1"/>
          <w:sz w:val="44"/>
          <w:szCs w:val="44"/>
        </w:rPr>
      </w:pPr>
      <w:r>
        <w:rPr>
          <w:rFonts w:hint="eastAsia" w:ascii="宋体" w:hAnsi="宋体"/>
          <w:color w:val="000000" w:themeColor="text1"/>
          <w:sz w:val="44"/>
          <w:szCs w:val="44"/>
        </w:rPr>
        <w:t>包件</w:t>
      </w:r>
      <w:r>
        <w:rPr>
          <w:rFonts w:hint="eastAsia" w:ascii="宋体" w:hAnsi="宋体"/>
          <w:color w:val="000000" w:themeColor="text1"/>
          <w:sz w:val="44"/>
          <w:szCs w:val="44"/>
          <w:u w:val="single"/>
        </w:rPr>
        <w:t xml:space="preserve">    </w:t>
      </w:r>
      <w:r>
        <w:rPr>
          <w:rFonts w:hint="eastAsia" w:ascii="宋体" w:hAnsi="宋体"/>
          <w:color w:val="000000" w:themeColor="text1"/>
          <w:sz w:val="44"/>
          <w:szCs w:val="44"/>
        </w:rPr>
        <w:t>竞商报价表</w:t>
      </w:r>
    </w:p>
    <w:tbl>
      <w:tblPr>
        <w:tblStyle w:val="52"/>
        <w:tblW w:w="8617" w:type="dxa"/>
        <w:jc w:val="center"/>
        <w:tblLayout w:type="autofit"/>
        <w:tblCellMar>
          <w:top w:w="0" w:type="dxa"/>
          <w:left w:w="108" w:type="dxa"/>
          <w:bottom w:w="0" w:type="dxa"/>
          <w:right w:w="108" w:type="dxa"/>
        </w:tblCellMar>
      </w:tblPr>
      <w:tblGrid>
        <w:gridCol w:w="733"/>
        <w:gridCol w:w="970"/>
        <w:gridCol w:w="872"/>
        <w:gridCol w:w="970"/>
        <w:gridCol w:w="1811"/>
        <w:gridCol w:w="1418"/>
        <w:gridCol w:w="1843"/>
      </w:tblGrid>
      <w:tr w14:paraId="0CAC714D">
        <w:tblPrEx>
          <w:tblCellMar>
            <w:top w:w="0" w:type="dxa"/>
            <w:left w:w="108" w:type="dxa"/>
            <w:bottom w:w="0" w:type="dxa"/>
            <w:right w:w="108" w:type="dxa"/>
          </w:tblCellMar>
        </w:tblPrEx>
        <w:trPr>
          <w:trHeight w:val="1800" w:hRule="atLeast"/>
          <w:jc w:val="center"/>
        </w:trPr>
        <w:tc>
          <w:tcPr>
            <w:tcW w:w="733" w:type="dxa"/>
            <w:tcBorders>
              <w:top w:val="single" w:color="auto" w:sz="4" w:space="0"/>
              <w:left w:val="single" w:color="auto" w:sz="4" w:space="0"/>
              <w:bottom w:val="single" w:color="auto" w:sz="4" w:space="0"/>
              <w:right w:val="single" w:color="auto" w:sz="4" w:space="0"/>
            </w:tcBorders>
            <w:vAlign w:val="center"/>
          </w:tcPr>
          <w:p w14:paraId="7E59E76C">
            <w:pPr>
              <w:jc w:val="center"/>
              <w:rPr>
                <w:rFonts w:ascii="宋体" w:hAnsi="宋体" w:cs="宋体"/>
                <w:b/>
                <w:bCs/>
                <w:color w:val="000000" w:themeColor="text1"/>
              </w:rPr>
            </w:pPr>
            <w:r>
              <w:rPr>
                <w:rFonts w:hint="eastAsia" w:ascii="宋体" w:hAnsi="宋体" w:cs="宋体"/>
                <w:b/>
                <w:bCs/>
                <w:color w:val="000000" w:themeColor="text1"/>
              </w:rPr>
              <w:t>包件号</w:t>
            </w:r>
          </w:p>
        </w:tc>
        <w:tc>
          <w:tcPr>
            <w:tcW w:w="970" w:type="dxa"/>
            <w:tcBorders>
              <w:top w:val="single" w:color="auto" w:sz="4" w:space="0"/>
              <w:left w:val="single" w:color="auto" w:sz="4" w:space="0"/>
              <w:bottom w:val="single" w:color="auto" w:sz="4" w:space="0"/>
              <w:right w:val="single" w:color="auto" w:sz="4" w:space="0"/>
            </w:tcBorders>
            <w:vAlign w:val="center"/>
          </w:tcPr>
          <w:p w14:paraId="615F1640">
            <w:pPr>
              <w:jc w:val="center"/>
              <w:rPr>
                <w:rFonts w:ascii="宋体" w:hAnsi="宋体" w:cs="宋体"/>
                <w:b/>
                <w:bCs/>
                <w:color w:val="000000" w:themeColor="text1"/>
              </w:rPr>
            </w:pPr>
            <w:r>
              <w:rPr>
                <w:rFonts w:hint="eastAsia" w:ascii="宋体" w:hAnsi="宋体" w:cs="宋体"/>
                <w:b/>
                <w:bCs/>
                <w:color w:val="000000" w:themeColor="text1"/>
              </w:rPr>
              <w:t>商铺编号</w:t>
            </w:r>
          </w:p>
        </w:tc>
        <w:tc>
          <w:tcPr>
            <w:tcW w:w="872" w:type="dxa"/>
            <w:tcBorders>
              <w:top w:val="single" w:color="auto" w:sz="4" w:space="0"/>
              <w:left w:val="single" w:color="auto" w:sz="4" w:space="0"/>
              <w:bottom w:val="single" w:color="auto" w:sz="4" w:space="0"/>
              <w:right w:val="single" w:color="auto" w:sz="4" w:space="0"/>
            </w:tcBorders>
            <w:vAlign w:val="center"/>
          </w:tcPr>
          <w:p w14:paraId="2C3711B9">
            <w:pPr>
              <w:jc w:val="center"/>
              <w:rPr>
                <w:rFonts w:ascii="宋体" w:hAnsi="宋体" w:cs="宋体"/>
                <w:b/>
                <w:bCs/>
                <w:color w:val="000000" w:themeColor="text1"/>
              </w:rPr>
            </w:pPr>
            <w:r>
              <w:rPr>
                <w:rFonts w:hint="eastAsia" w:ascii="宋体" w:hAnsi="宋体" w:cs="宋体"/>
                <w:b/>
                <w:bCs/>
                <w:color w:val="000000" w:themeColor="text1"/>
              </w:rPr>
              <w:t>竞商业态</w:t>
            </w:r>
          </w:p>
        </w:tc>
        <w:tc>
          <w:tcPr>
            <w:tcW w:w="970" w:type="dxa"/>
            <w:tcBorders>
              <w:top w:val="single" w:color="auto" w:sz="4" w:space="0"/>
              <w:left w:val="single" w:color="auto" w:sz="4" w:space="0"/>
              <w:bottom w:val="single" w:color="auto" w:sz="4" w:space="0"/>
              <w:right w:val="single" w:color="auto" w:sz="4" w:space="0"/>
            </w:tcBorders>
            <w:vAlign w:val="center"/>
          </w:tcPr>
          <w:p w14:paraId="7E17AA3A">
            <w:pPr>
              <w:jc w:val="center"/>
              <w:rPr>
                <w:rFonts w:ascii="宋体" w:hAnsi="宋体" w:cs="宋体"/>
                <w:b/>
                <w:bCs/>
                <w:color w:val="000000" w:themeColor="text1"/>
              </w:rPr>
            </w:pPr>
            <w:r>
              <w:rPr>
                <w:rFonts w:hint="eastAsia" w:ascii="宋体" w:hAnsi="宋体" w:cs="宋体"/>
                <w:b/>
                <w:bCs/>
                <w:color w:val="000000" w:themeColor="text1"/>
              </w:rPr>
              <w:t>入驻品牌</w:t>
            </w:r>
          </w:p>
        </w:tc>
        <w:tc>
          <w:tcPr>
            <w:tcW w:w="1811" w:type="dxa"/>
            <w:tcBorders>
              <w:top w:val="single" w:color="auto" w:sz="4" w:space="0"/>
              <w:left w:val="single" w:color="auto" w:sz="4" w:space="0"/>
              <w:bottom w:val="single" w:color="auto" w:sz="4" w:space="0"/>
              <w:right w:val="single" w:color="auto" w:sz="4" w:space="0"/>
            </w:tcBorders>
            <w:vAlign w:val="center"/>
          </w:tcPr>
          <w:p w14:paraId="6A3A4BAB">
            <w:pPr>
              <w:jc w:val="center"/>
              <w:rPr>
                <w:rFonts w:ascii="宋体" w:hAnsi="宋体" w:cs="宋体"/>
                <w:b/>
                <w:bCs/>
                <w:color w:val="000000" w:themeColor="text1"/>
              </w:rPr>
            </w:pPr>
            <w:r>
              <w:rPr>
                <w:rFonts w:hint="eastAsia" w:ascii="宋体" w:hAnsi="宋体" w:cs="宋体"/>
                <w:b/>
                <w:bCs/>
                <w:color w:val="000000" w:themeColor="text1"/>
              </w:rPr>
              <w:t>首年综合服务费单价报价（元/㎡/天）</w:t>
            </w:r>
          </w:p>
        </w:tc>
        <w:tc>
          <w:tcPr>
            <w:tcW w:w="1418" w:type="dxa"/>
            <w:tcBorders>
              <w:top w:val="single" w:color="auto" w:sz="4" w:space="0"/>
              <w:left w:val="single" w:color="auto" w:sz="4" w:space="0"/>
              <w:bottom w:val="single" w:color="000000" w:sz="4" w:space="0"/>
              <w:right w:val="single" w:color="auto" w:sz="4" w:space="0"/>
            </w:tcBorders>
            <w:vAlign w:val="center"/>
          </w:tcPr>
          <w:p w14:paraId="07FE350F">
            <w:pPr>
              <w:jc w:val="center"/>
              <w:rPr>
                <w:rFonts w:ascii="宋体" w:hAnsi="宋体" w:cs="宋体"/>
                <w:b/>
                <w:bCs/>
                <w:color w:val="000000" w:themeColor="text1"/>
              </w:rPr>
            </w:pPr>
            <w:r>
              <w:rPr>
                <w:rFonts w:hint="eastAsia" w:ascii="宋体" w:hAnsi="宋体" w:cs="宋体"/>
                <w:b/>
                <w:bCs/>
                <w:color w:val="000000" w:themeColor="text1"/>
              </w:rPr>
              <w:t>年递增比例（%）</w:t>
            </w:r>
          </w:p>
        </w:tc>
        <w:tc>
          <w:tcPr>
            <w:tcW w:w="1843" w:type="dxa"/>
            <w:tcBorders>
              <w:top w:val="single" w:color="auto" w:sz="4" w:space="0"/>
              <w:left w:val="single" w:color="auto" w:sz="4" w:space="0"/>
              <w:bottom w:val="single" w:color="auto" w:sz="4" w:space="0"/>
              <w:right w:val="single" w:color="auto" w:sz="4" w:space="0"/>
            </w:tcBorders>
            <w:vAlign w:val="center"/>
          </w:tcPr>
          <w:p w14:paraId="4CCF6F0D">
            <w:pPr>
              <w:jc w:val="center"/>
              <w:rPr>
                <w:rFonts w:ascii="宋体" w:hAnsi="宋体" w:cs="宋体"/>
                <w:b/>
                <w:bCs/>
                <w:color w:val="000000" w:themeColor="text1"/>
              </w:rPr>
            </w:pPr>
            <w:r>
              <w:rPr>
                <w:rFonts w:hint="eastAsia" w:ascii="宋体" w:hAnsi="宋体" w:cs="宋体"/>
                <w:b/>
                <w:bCs/>
                <w:color w:val="000000" w:themeColor="text1"/>
              </w:rPr>
              <w:t>支付周期（</w:t>
            </w:r>
            <w:r>
              <w:rPr>
                <w:rFonts w:hint="eastAsia" w:ascii="宋体" w:hAnsi="宋体" w:cs="宋体"/>
                <w:b/>
                <w:bCs/>
                <w:color w:val="000000" w:themeColor="text1"/>
                <w:lang w:eastAsia="zh-CN"/>
              </w:rPr>
              <w:t>个</w:t>
            </w:r>
            <w:r>
              <w:rPr>
                <w:rFonts w:hint="eastAsia" w:ascii="宋体" w:hAnsi="宋体" w:cs="宋体"/>
                <w:b/>
                <w:bCs/>
                <w:color w:val="000000" w:themeColor="text1"/>
              </w:rPr>
              <w:t>月）</w:t>
            </w:r>
          </w:p>
        </w:tc>
      </w:tr>
      <w:tr w14:paraId="7CE987EE">
        <w:tblPrEx>
          <w:tblCellMar>
            <w:top w:w="0" w:type="dxa"/>
            <w:left w:w="108" w:type="dxa"/>
            <w:bottom w:w="0" w:type="dxa"/>
            <w:right w:w="108" w:type="dxa"/>
          </w:tblCellMar>
        </w:tblPrEx>
        <w:trPr>
          <w:trHeight w:val="860" w:hRule="atLeast"/>
          <w:jc w:val="center"/>
        </w:trPr>
        <w:tc>
          <w:tcPr>
            <w:tcW w:w="733" w:type="dxa"/>
            <w:tcBorders>
              <w:top w:val="nil"/>
              <w:left w:val="single" w:color="auto" w:sz="4" w:space="0"/>
              <w:bottom w:val="single" w:color="auto" w:sz="4" w:space="0"/>
              <w:right w:val="single" w:color="auto" w:sz="4" w:space="0"/>
            </w:tcBorders>
            <w:vAlign w:val="center"/>
          </w:tcPr>
          <w:p w14:paraId="37BE268B">
            <w:pPr>
              <w:jc w:val="center"/>
              <w:rPr>
                <w:rFonts w:ascii="宋体" w:hAnsi="宋体" w:cs="宋体"/>
                <w:color w:val="000000" w:themeColor="text1"/>
                <w:sz w:val="28"/>
                <w:szCs w:val="28"/>
              </w:rPr>
            </w:pPr>
          </w:p>
        </w:tc>
        <w:tc>
          <w:tcPr>
            <w:tcW w:w="970" w:type="dxa"/>
            <w:tcBorders>
              <w:top w:val="nil"/>
              <w:left w:val="nil"/>
              <w:bottom w:val="single" w:color="auto" w:sz="4" w:space="0"/>
              <w:right w:val="single" w:color="auto" w:sz="4" w:space="0"/>
            </w:tcBorders>
            <w:vAlign w:val="center"/>
          </w:tcPr>
          <w:p w14:paraId="5EE82105">
            <w:pPr>
              <w:jc w:val="center"/>
              <w:rPr>
                <w:rFonts w:ascii="宋体" w:hAnsi="宋体" w:cs="宋体"/>
                <w:color w:val="000000" w:themeColor="text1"/>
                <w:sz w:val="28"/>
                <w:szCs w:val="28"/>
              </w:rPr>
            </w:pPr>
          </w:p>
        </w:tc>
        <w:tc>
          <w:tcPr>
            <w:tcW w:w="872" w:type="dxa"/>
            <w:tcBorders>
              <w:top w:val="nil"/>
              <w:left w:val="nil"/>
              <w:bottom w:val="single" w:color="auto" w:sz="4" w:space="0"/>
              <w:right w:val="single" w:color="auto" w:sz="4" w:space="0"/>
            </w:tcBorders>
            <w:vAlign w:val="center"/>
          </w:tcPr>
          <w:p w14:paraId="46E784D7">
            <w:pPr>
              <w:jc w:val="center"/>
              <w:rPr>
                <w:rFonts w:ascii="宋体" w:hAnsi="宋体" w:cs="宋体"/>
                <w:color w:val="000000" w:themeColor="text1"/>
                <w:sz w:val="28"/>
                <w:szCs w:val="28"/>
              </w:rPr>
            </w:pPr>
          </w:p>
        </w:tc>
        <w:tc>
          <w:tcPr>
            <w:tcW w:w="970" w:type="dxa"/>
            <w:tcBorders>
              <w:top w:val="nil"/>
              <w:left w:val="nil"/>
              <w:bottom w:val="single" w:color="auto" w:sz="4" w:space="0"/>
              <w:right w:val="single" w:color="auto" w:sz="4" w:space="0"/>
            </w:tcBorders>
            <w:vAlign w:val="center"/>
          </w:tcPr>
          <w:p w14:paraId="11A055BA">
            <w:pPr>
              <w:jc w:val="center"/>
              <w:rPr>
                <w:rFonts w:ascii="宋体" w:hAnsi="宋体" w:cs="宋体"/>
                <w:color w:val="000000" w:themeColor="text1"/>
                <w:sz w:val="28"/>
                <w:szCs w:val="28"/>
              </w:rPr>
            </w:pPr>
          </w:p>
        </w:tc>
        <w:tc>
          <w:tcPr>
            <w:tcW w:w="1811" w:type="dxa"/>
            <w:tcBorders>
              <w:top w:val="nil"/>
              <w:left w:val="nil"/>
              <w:bottom w:val="single" w:color="auto" w:sz="4" w:space="0"/>
              <w:right w:val="single" w:color="auto" w:sz="4" w:space="0"/>
            </w:tcBorders>
            <w:vAlign w:val="center"/>
          </w:tcPr>
          <w:p w14:paraId="6E694601">
            <w:pPr>
              <w:jc w:val="center"/>
              <w:rPr>
                <w:rFonts w:ascii="宋体" w:hAnsi="宋体" w:cs="宋体"/>
                <w:color w:val="000000" w:themeColor="text1"/>
                <w:sz w:val="28"/>
                <w:szCs w:val="28"/>
              </w:rPr>
            </w:pPr>
          </w:p>
        </w:tc>
        <w:tc>
          <w:tcPr>
            <w:tcW w:w="1418" w:type="dxa"/>
            <w:tcBorders>
              <w:top w:val="nil"/>
              <w:left w:val="nil"/>
              <w:bottom w:val="single" w:color="auto" w:sz="4" w:space="0"/>
              <w:right w:val="single" w:color="auto" w:sz="4" w:space="0"/>
            </w:tcBorders>
            <w:vAlign w:val="center"/>
          </w:tcPr>
          <w:p w14:paraId="6CDDE401">
            <w:pPr>
              <w:rPr>
                <w:rFonts w:ascii="宋体" w:hAnsi="宋体" w:cs="宋体"/>
                <w:color w:val="000000" w:themeColor="text1"/>
                <w:sz w:val="28"/>
                <w:szCs w:val="28"/>
              </w:rPr>
            </w:pPr>
          </w:p>
        </w:tc>
        <w:tc>
          <w:tcPr>
            <w:tcW w:w="1843" w:type="dxa"/>
            <w:tcBorders>
              <w:top w:val="nil"/>
              <w:left w:val="nil"/>
              <w:bottom w:val="single" w:color="auto" w:sz="4" w:space="0"/>
              <w:right w:val="single" w:color="auto" w:sz="4" w:space="0"/>
            </w:tcBorders>
            <w:vAlign w:val="center"/>
          </w:tcPr>
          <w:p w14:paraId="27706223">
            <w:pPr>
              <w:jc w:val="center"/>
              <w:rPr>
                <w:rFonts w:ascii="宋体" w:hAnsi="宋体" w:cs="宋体"/>
                <w:color w:val="000000" w:themeColor="text1"/>
                <w:sz w:val="28"/>
                <w:szCs w:val="28"/>
              </w:rPr>
            </w:pPr>
          </w:p>
        </w:tc>
      </w:tr>
    </w:tbl>
    <w:p w14:paraId="3E66F716">
      <w:pPr>
        <w:spacing w:line="440" w:lineRule="exact"/>
        <w:jc w:val="center"/>
        <w:rPr>
          <w:rFonts w:ascii="宋体" w:hAnsi="宋体"/>
          <w:color w:val="000000" w:themeColor="text1"/>
          <w:sz w:val="32"/>
        </w:rPr>
      </w:pPr>
    </w:p>
    <w:p w14:paraId="79FCB235">
      <w:pPr>
        <w:pStyle w:val="8"/>
        <w:numPr>
          <w:ilvl w:val="0"/>
          <w:numId w:val="0"/>
        </w:numPr>
        <w:spacing w:line="360" w:lineRule="auto"/>
        <w:rPr>
          <w:color w:val="000000" w:themeColor="text1"/>
        </w:rPr>
      </w:pPr>
      <w:r>
        <w:rPr>
          <w:rFonts w:hint="eastAsia"/>
          <w:color w:val="000000" w:themeColor="text1"/>
        </w:rPr>
        <w:t>填写说明：</w:t>
      </w:r>
    </w:p>
    <w:p w14:paraId="45E00E97">
      <w:pPr>
        <w:pStyle w:val="8"/>
        <w:numPr>
          <w:ilvl w:val="0"/>
          <w:numId w:val="0"/>
        </w:numPr>
        <w:spacing w:line="360" w:lineRule="auto"/>
        <w:rPr>
          <w:color w:val="000000" w:themeColor="text1"/>
        </w:rPr>
      </w:pPr>
      <w:r>
        <w:rPr>
          <w:rFonts w:hint="eastAsia"/>
          <w:color w:val="000000" w:themeColor="text1"/>
        </w:rPr>
        <w:t xml:space="preserve">    1.本表为一个商铺（包件）的竞商竞投表，每一份投标文件只能竞投一个商铺（包件）。</w:t>
      </w:r>
    </w:p>
    <w:p w14:paraId="36A25C38">
      <w:pPr>
        <w:pStyle w:val="8"/>
        <w:numPr>
          <w:ilvl w:val="0"/>
          <w:numId w:val="0"/>
        </w:numPr>
        <w:spacing w:line="360" w:lineRule="auto"/>
        <w:rPr>
          <w:color w:val="000000" w:themeColor="text1"/>
        </w:rPr>
      </w:pPr>
      <w:r>
        <w:rPr>
          <w:rFonts w:hint="eastAsia"/>
          <w:color w:val="000000" w:themeColor="text1"/>
        </w:rPr>
        <w:t xml:space="preserve">    2.入驻品牌为竞商人自有品牌或已获得授权的品牌。竞商人只能持一个品牌竞商一个商铺。</w:t>
      </w:r>
    </w:p>
    <w:p w14:paraId="3D9DE571">
      <w:pPr>
        <w:pStyle w:val="8"/>
        <w:numPr>
          <w:ilvl w:val="0"/>
          <w:numId w:val="0"/>
        </w:numPr>
        <w:spacing w:line="360" w:lineRule="auto"/>
        <w:ind w:left="425" w:leftChars="177" w:firstLine="120" w:firstLineChars="50"/>
        <w:rPr>
          <w:color w:val="000000" w:themeColor="text1"/>
        </w:rPr>
      </w:pPr>
      <w:r>
        <w:rPr>
          <w:rFonts w:hint="eastAsia"/>
          <w:color w:val="000000" w:themeColor="text1"/>
        </w:rPr>
        <w:t>3.</w:t>
      </w:r>
      <w:r>
        <w:rPr>
          <w:rFonts w:hint="eastAsia" w:ascii="宋体" w:hAnsi="宋体" w:cs="宋体"/>
          <w:b/>
          <w:bCs/>
          <w:color w:val="000000" w:themeColor="text1"/>
        </w:rPr>
        <w:t xml:space="preserve"> </w:t>
      </w:r>
      <w:r>
        <w:rPr>
          <w:rFonts w:hint="eastAsia"/>
          <w:color w:val="000000" w:themeColor="text1"/>
        </w:rPr>
        <w:t>首年综合服务费单价报价低于底价视为无效报价。</w:t>
      </w:r>
    </w:p>
    <w:p w14:paraId="5CE5D8E6">
      <w:pPr>
        <w:pStyle w:val="8"/>
        <w:numPr>
          <w:ilvl w:val="0"/>
          <w:numId w:val="0"/>
        </w:numPr>
        <w:spacing w:line="360" w:lineRule="auto"/>
        <w:ind w:left="425" w:leftChars="177" w:firstLine="120" w:firstLineChars="50"/>
        <w:rPr>
          <w:color w:val="000000" w:themeColor="text1"/>
        </w:rPr>
      </w:pPr>
      <w:r>
        <w:rPr>
          <w:rFonts w:hint="eastAsia"/>
          <w:color w:val="000000" w:themeColor="text1"/>
        </w:rPr>
        <w:t>4.合同约定的各项费用先付后用，支付周期只可填3个月,6个月,12个月。若竞商人未</w:t>
      </w:r>
    </w:p>
    <w:p w14:paraId="2F466FB5">
      <w:pPr>
        <w:pStyle w:val="8"/>
        <w:numPr>
          <w:ilvl w:val="0"/>
          <w:numId w:val="0"/>
        </w:numPr>
        <w:spacing w:line="360" w:lineRule="auto"/>
        <w:rPr>
          <w:color w:val="000000" w:themeColor="text1"/>
        </w:rPr>
      </w:pPr>
      <w:r>
        <w:rPr>
          <w:rFonts w:hint="eastAsia"/>
          <w:color w:val="000000" w:themeColor="text1"/>
        </w:rPr>
        <w:t>填写视为无效报价。</w:t>
      </w:r>
    </w:p>
    <w:p w14:paraId="4E6C64F4">
      <w:pPr>
        <w:rPr>
          <w:color w:val="000000" w:themeColor="text1"/>
        </w:rPr>
      </w:pPr>
      <w:r>
        <w:rPr>
          <w:rFonts w:hint="eastAsia"/>
          <w:color w:val="000000" w:themeColor="text1"/>
        </w:rPr>
        <w:t xml:space="preserve">     5.年递增比例为</w:t>
      </w:r>
      <w:r>
        <w:rPr>
          <w:color w:val="000000" w:themeColor="text1"/>
        </w:rPr>
        <w:t>2%</w:t>
      </w:r>
      <w:r>
        <w:rPr>
          <w:rFonts w:hint="eastAsia"/>
          <w:color w:val="000000" w:themeColor="text1"/>
        </w:rPr>
        <w:t>、</w:t>
      </w:r>
      <w:r>
        <w:rPr>
          <w:color w:val="000000" w:themeColor="text1"/>
        </w:rPr>
        <w:t>3%</w:t>
      </w:r>
      <w:r>
        <w:rPr>
          <w:rFonts w:hint="eastAsia"/>
          <w:color w:val="000000" w:themeColor="text1"/>
        </w:rPr>
        <w:t>、</w:t>
      </w:r>
      <w:r>
        <w:rPr>
          <w:color w:val="000000" w:themeColor="text1"/>
        </w:rPr>
        <w:t>4%</w:t>
      </w:r>
      <w:r>
        <w:rPr>
          <w:rFonts w:hint="eastAsia"/>
          <w:color w:val="000000" w:themeColor="text1"/>
        </w:rPr>
        <w:t>、</w:t>
      </w:r>
      <w:r>
        <w:rPr>
          <w:color w:val="000000" w:themeColor="text1"/>
        </w:rPr>
        <w:t>5%</w:t>
      </w:r>
      <w:r>
        <w:rPr>
          <w:rFonts w:hint="eastAsia"/>
          <w:color w:val="000000" w:themeColor="text1"/>
        </w:rPr>
        <w:t>（由竞商人竞商人根据竞商实际自行决定）,空白视为无效报价。</w:t>
      </w:r>
    </w:p>
    <w:p w14:paraId="322B83BF">
      <w:pPr>
        <w:pStyle w:val="8"/>
        <w:numPr>
          <w:ilvl w:val="0"/>
          <w:numId w:val="0"/>
        </w:numPr>
        <w:spacing w:line="360" w:lineRule="auto"/>
        <w:rPr>
          <w:color w:val="000000" w:themeColor="text1"/>
        </w:rPr>
      </w:pPr>
      <w:r>
        <w:rPr>
          <w:rFonts w:hint="eastAsia"/>
          <w:color w:val="000000" w:themeColor="text1"/>
        </w:rPr>
        <w:t xml:space="preserve">     6.本次商务报价指标为重要指标但非唯一指标。上述商务条件由竞商者结合实际自行竞价竞商商铺出租中</w:t>
      </w:r>
      <w:r>
        <w:rPr>
          <w:rFonts w:hint="eastAsia"/>
          <w:color w:val="auto"/>
        </w:rPr>
        <w:t>涉及</w:t>
      </w:r>
      <w:r>
        <w:rPr>
          <w:rFonts w:hint="eastAsia"/>
          <w:color w:val="auto"/>
          <w:lang w:eastAsia="zh-CN"/>
        </w:rPr>
        <w:t>其他费用</w:t>
      </w:r>
      <w:r>
        <w:rPr>
          <w:rFonts w:hint="eastAsia"/>
          <w:color w:val="auto"/>
        </w:rPr>
        <w:t>等，按招商人相关</w:t>
      </w:r>
      <w:r>
        <w:rPr>
          <w:rFonts w:hint="eastAsia"/>
          <w:color w:val="000000" w:themeColor="text1"/>
        </w:rPr>
        <w:t>规定执行。</w:t>
      </w:r>
    </w:p>
    <w:p w14:paraId="43DC260A">
      <w:pPr>
        <w:tabs>
          <w:tab w:val="center" w:pos="3999"/>
        </w:tabs>
        <w:spacing w:line="440" w:lineRule="exact"/>
        <w:ind w:firstLine="4200" w:firstLineChars="1500"/>
        <w:rPr>
          <w:rFonts w:ascii="宋体" w:hAnsi="宋体"/>
          <w:color w:val="000000" w:themeColor="text1"/>
          <w:sz w:val="28"/>
          <w:szCs w:val="32"/>
        </w:rPr>
      </w:pPr>
      <w:r>
        <w:rPr>
          <w:rFonts w:hint="eastAsia" w:ascii="宋体" w:hAnsi="宋体"/>
          <w:color w:val="000000" w:themeColor="text1"/>
          <w:sz w:val="28"/>
          <w:szCs w:val="32"/>
        </w:rPr>
        <w:t xml:space="preserve">单位名称（盖章）：           </w:t>
      </w:r>
    </w:p>
    <w:p w14:paraId="64B1F085">
      <w:pPr>
        <w:spacing w:line="440" w:lineRule="exact"/>
        <w:ind w:firstLine="4200" w:firstLineChars="1500"/>
        <w:rPr>
          <w:rFonts w:ascii="宋体" w:hAnsi="宋体"/>
          <w:color w:val="000000" w:themeColor="text1"/>
          <w:sz w:val="28"/>
          <w:szCs w:val="32"/>
        </w:rPr>
      </w:pPr>
      <w:r>
        <w:rPr>
          <w:rFonts w:hint="eastAsia" w:ascii="宋体" w:hAnsi="宋体"/>
          <w:color w:val="000000" w:themeColor="text1"/>
          <w:sz w:val="28"/>
          <w:szCs w:val="32"/>
        </w:rPr>
        <w:t>法定代表人（签字）：</w:t>
      </w:r>
    </w:p>
    <w:p w14:paraId="5E02300C">
      <w:pPr>
        <w:spacing w:line="440" w:lineRule="exact"/>
        <w:ind w:firstLine="4200" w:firstLineChars="1500"/>
        <w:rPr>
          <w:rFonts w:ascii="宋体" w:hAnsi="宋体"/>
          <w:color w:val="000000" w:themeColor="text1"/>
          <w:sz w:val="28"/>
          <w:szCs w:val="32"/>
        </w:rPr>
      </w:pPr>
      <w:r>
        <w:rPr>
          <w:rFonts w:hint="eastAsia" w:ascii="宋体" w:hAnsi="宋体"/>
          <w:color w:val="000000" w:themeColor="text1"/>
          <w:sz w:val="28"/>
          <w:szCs w:val="32"/>
        </w:rPr>
        <w:t xml:space="preserve"> 年    月    日</w:t>
      </w:r>
    </w:p>
    <w:p w14:paraId="61431802">
      <w:pPr>
        <w:pStyle w:val="126"/>
        <w:spacing w:before="0" w:after="0" w:line="360" w:lineRule="auto"/>
        <w:outlineLvl w:val="0"/>
        <w:rPr>
          <w:rFonts w:ascii="Times New Roman"/>
          <w:color w:val="000000" w:themeColor="text1"/>
        </w:rPr>
      </w:pPr>
      <w:bookmarkStart w:id="1163" w:name="_Toc359490633"/>
      <w:bookmarkStart w:id="1164" w:name="_Toc359963695"/>
      <w:bookmarkStart w:id="1165" w:name="_Toc17473490"/>
      <w:bookmarkStart w:id="1166" w:name="_Toc13272"/>
      <w:bookmarkStart w:id="1167" w:name="_Toc496099048"/>
      <w:bookmarkStart w:id="1168" w:name="_Toc359963785"/>
      <w:bookmarkStart w:id="1169" w:name="_Toc422249728"/>
      <w:bookmarkStart w:id="1170" w:name="_Toc357809986"/>
      <w:bookmarkStart w:id="1171" w:name="_Toc357806248"/>
      <w:bookmarkStart w:id="1172" w:name="_Toc360233200"/>
      <w:bookmarkStart w:id="1173" w:name="_Toc77318627"/>
      <w:bookmarkStart w:id="1174" w:name="_Toc377495894"/>
      <w:bookmarkStart w:id="1175" w:name="_Toc357265565"/>
      <w:bookmarkStart w:id="1176" w:name="_Toc433187954"/>
      <w:bookmarkStart w:id="1177" w:name="_Toc47513042"/>
      <w:bookmarkStart w:id="1178" w:name="_Toc60663776"/>
      <w:bookmarkStart w:id="1179" w:name="_Toc213520794"/>
      <w:bookmarkStart w:id="1180" w:name="_Toc336245539"/>
      <w:bookmarkStart w:id="1181" w:name="_Toc282703576"/>
      <w:bookmarkStart w:id="1182" w:name="_Toc66355855"/>
      <w:bookmarkStart w:id="1183" w:name="_Toc51494169"/>
      <w:bookmarkStart w:id="1184" w:name="_Toc357167887"/>
      <w:bookmarkStart w:id="1185" w:name="_Toc283376792"/>
      <w:bookmarkStart w:id="1186" w:name="_Toc282418842"/>
      <w:bookmarkStart w:id="1187" w:name="_Toc356899019"/>
      <w:bookmarkStart w:id="1188" w:name="_Toc213155327"/>
      <w:bookmarkStart w:id="1189" w:name="_Toc53100350"/>
      <w:bookmarkStart w:id="1190" w:name="_Toc257903232"/>
      <w:bookmarkStart w:id="1191" w:name="_Toc338851186"/>
      <w:bookmarkStart w:id="1192" w:name="_Toc339015999"/>
      <w:bookmarkStart w:id="1193" w:name="_Toc336241709"/>
      <w:bookmarkStart w:id="1194" w:name="_Toc354606522"/>
      <w:bookmarkStart w:id="1195" w:name="_Toc355722051"/>
      <w:bookmarkStart w:id="1196" w:name="_Toc51493933"/>
      <w:bookmarkStart w:id="1197" w:name="_Toc283892627"/>
      <w:bookmarkStart w:id="1198" w:name="_Toc51494313"/>
      <w:bookmarkStart w:id="1199" w:name="_Toc336244913"/>
      <w:bookmarkStart w:id="1200" w:name="_Toc339464568"/>
      <w:bookmarkStart w:id="1201" w:name="_Toc214341453"/>
      <w:bookmarkStart w:id="1202" w:name="_Toc282417496"/>
      <w:bookmarkStart w:id="1203" w:name="_Toc213155207"/>
      <w:bookmarkStart w:id="1204" w:name="_Toc66356012"/>
      <w:bookmarkStart w:id="1205" w:name="_Toc354606613"/>
      <w:bookmarkStart w:id="1206" w:name="_Toc52961748"/>
      <w:bookmarkStart w:id="1207" w:name="_Toc339016073"/>
      <w:bookmarkStart w:id="1208" w:name="_Toc355702927"/>
      <w:bookmarkStart w:id="1209" w:name="_Toc60191191"/>
      <w:bookmarkStart w:id="1210" w:name="_Toc283735960"/>
      <w:bookmarkStart w:id="1211" w:name="_Toc355728830"/>
      <w:bookmarkStart w:id="1212" w:name="_Toc283490455"/>
      <w:bookmarkStart w:id="1213" w:name="_Toc214175927"/>
      <w:bookmarkStart w:id="1214" w:name="_Toc355842547"/>
      <w:bookmarkStart w:id="1215" w:name="_Toc283624847"/>
      <w:bookmarkStart w:id="1216" w:name="_Toc67311767"/>
      <w:bookmarkStart w:id="1217" w:name="_Toc357267823"/>
      <w:bookmarkStart w:id="1218" w:name="_Toc336238944"/>
      <w:bookmarkStart w:id="1219" w:name="_Toc355742204"/>
      <w:bookmarkStart w:id="1220" w:name="_Toc213516239"/>
      <w:bookmarkStart w:id="1221" w:name="_Toc355742681"/>
      <w:bookmarkStart w:id="1222" w:name="_Toc257903132"/>
      <w:bookmarkStart w:id="1223" w:name="_Toc51493808"/>
      <w:bookmarkStart w:id="1224" w:name="_Toc283376904"/>
      <w:bookmarkStart w:id="1225" w:name="_Toc53100527"/>
      <w:bookmarkStart w:id="1226" w:name="_Toc354575327"/>
    </w:p>
    <w:p w14:paraId="71B54639">
      <w:pPr>
        <w:pStyle w:val="126"/>
        <w:spacing w:before="0" w:after="0" w:line="360" w:lineRule="auto"/>
        <w:outlineLvl w:val="0"/>
        <w:rPr>
          <w:rFonts w:ascii="Times New Roman"/>
          <w:color w:val="000000" w:themeColor="text1"/>
        </w:rPr>
      </w:pPr>
    </w:p>
    <w:p w14:paraId="38AEAC60">
      <w:pPr>
        <w:pStyle w:val="126"/>
        <w:spacing w:before="0" w:after="0" w:line="360" w:lineRule="auto"/>
        <w:outlineLvl w:val="0"/>
        <w:rPr>
          <w:rFonts w:ascii="Times New Roman"/>
          <w:color w:val="000000" w:themeColor="text1"/>
        </w:rPr>
      </w:pPr>
    </w:p>
    <w:p w14:paraId="304C2167">
      <w:pPr>
        <w:pStyle w:val="126"/>
        <w:spacing w:before="0" w:after="0" w:line="360" w:lineRule="auto"/>
        <w:outlineLvl w:val="0"/>
        <w:rPr>
          <w:rFonts w:ascii="Times New Roman"/>
          <w:color w:val="000000" w:themeColor="text1"/>
        </w:rPr>
      </w:pPr>
      <w:r>
        <w:rPr>
          <w:rFonts w:ascii="Times New Roman"/>
          <w:color w:val="000000" w:themeColor="text1"/>
        </w:rPr>
        <w:t>格式3  法定代表人证明书和法定代表人授权书</w:t>
      </w:r>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p>
    <w:p w14:paraId="15A3B026">
      <w:pPr>
        <w:pStyle w:val="13"/>
        <w:spacing w:line="360" w:lineRule="auto"/>
        <w:ind w:firstLine="0"/>
        <w:jc w:val="center"/>
        <w:rPr>
          <w:color w:val="000000" w:themeColor="text1"/>
          <w:sz w:val="28"/>
        </w:rPr>
      </w:pPr>
    </w:p>
    <w:p w14:paraId="232C2098">
      <w:pPr>
        <w:pStyle w:val="13"/>
        <w:spacing w:line="360" w:lineRule="auto"/>
        <w:ind w:firstLine="0"/>
        <w:jc w:val="center"/>
        <w:rPr>
          <w:color w:val="000000" w:themeColor="text1"/>
          <w:sz w:val="28"/>
        </w:rPr>
      </w:pPr>
      <w:r>
        <w:rPr>
          <w:color w:val="000000" w:themeColor="text1"/>
          <w:sz w:val="28"/>
        </w:rPr>
        <w:t>法定代表人证明书（格式）</w:t>
      </w:r>
    </w:p>
    <w:p w14:paraId="65B1A884">
      <w:pPr>
        <w:pStyle w:val="13"/>
        <w:spacing w:line="360" w:lineRule="auto"/>
        <w:rPr>
          <w:color w:val="000000" w:themeColor="text1"/>
        </w:rPr>
      </w:pPr>
    </w:p>
    <w:p w14:paraId="260C7976">
      <w:pPr>
        <w:pStyle w:val="13"/>
        <w:spacing w:line="360" w:lineRule="auto"/>
        <w:ind w:firstLine="960" w:firstLineChars="400"/>
        <w:rPr>
          <w:color w:val="000000" w:themeColor="text1"/>
        </w:rPr>
      </w:pPr>
      <w:r>
        <w:rPr>
          <w:color w:val="000000" w:themeColor="text1"/>
        </w:rPr>
        <w:t>（姓名）现担任职务，为我单位的法定代表人。</w:t>
      </w:r>
    </w:p>
    <w:p w14:paraId="2274D2AD">
      <w:pPr>
        <w:pStyle w:val="13"/>
        <w:spacing w:line="360" w:lineRule="auto"/>
        <w:ind w:firstLine="960" w:firstLineChars="400"/>
        <w:rPr>
          <w:color w:val="000000" w:themeColor="text1"/>
        </w:rPr>
      </w:pPr>
      <w:r>
        <w:rPr>
          <w:color w:val="000000" w:themeColor="text1"/>
        </w:rPr>
        <w:t>特此证明</w:t>
      </w:r>
    </w:p>
    <w:p w14:paraId="26DD8A19">
      <w:pPr>
        <w:pStyle w:val="13"/>
        <w:spacing w:line="360" w:lineRule="auto"/>
        <w:rPr>
          <w:color w:val="000000" w:themeColor="text1"/>
        </w:rPr>
      </w:pPr>
      <w:r>
        <w:rPr>
          <w:color w:val="000000" w:themeColor="text1"/>
        </w:rPr>
        <w:t>竞商人（章）：</w:t>
      </w:r>
    </w:p>
    <w:p w14:paraId="277D72BC">
      <w:pPr>
        <w:pStyle w:val="13"/>
        <w:spacing w:line="360" w:lineRule="auto"/>
        <w:rPr>
          <w:color w:val="000000" w:themeColor="text1"/>
        </w:rPr>
      </w:pPr>
      <w:r>
        <w:rPr>
          <w:color w:val="000000" w:themeColor="text1"/>
        </w:rPr>
        <w:t>年月日</w:t>
      </w:r>
    </w:p>
    <w:p w14:paraId="7A23E2FF">
      <w:pPr>
        <w:spacing w:line="360" w:lineRule="auto"/>
        <w:jc w:val="center"/>
        <w:rPr>
          <w:color w:val="000000" w:themeColor="text1"/>
        </w:rPr>
      </w:pPr>
    </w:p>
    <w:p w14:paraId="664576E8">
      <w:pPr>
        <w:pStyle w:val="13"/>
        <w:spacing w:line="360" w:lineRule="auto"/>
        <w:ind w:firstLine="0"/>
        <w:jc w:val="center"/>
        <w:rPr>
          <w:color w:val="000000" w:themeColor="text1"/>
          <w:sz w:val="28"/>
        </w:rPr>
      </w:pPr>
    </w:p>
    <w:p w14:paraId="32A35C37">
      <w:pPr>
        <w:pStyle w:val="13"/>
        <w:spacing w:line="360" w:lineRule="auto"/>
        <w:ind w:firstLine="0"/>
        <w:jc w:val="center"/>
        <w:rPr>
          <w:color w:val="000000" w:themeColor="text1"/>
          <w:sz w:val="28"/>
        </w:rPr>
      </w:pPr>
    </w:p>
    <w:p w14:paraId="7070B54C">
      <w:pPr>
        <w:pStyle w:val="13"/>
        <w:spacing w:line="360" w:lineRule="auto"/>
        <w:ind w:firstLine="0"/>
        <w:jc w:val="center"/>
        <w:rPr>
          <w:color w:val="000000" w:themeColor="text1"/>
          <w:sz w:val="28"/>
        </w:rPr>
      </w:pPr>
    </w:p>
    <w:p w14:paraId="6DB5A9AB">
      <w:pPr>
        <w:pStyle w:val="13"/>
        <w:spacing w:line="360" w:lineRule="auto"/>
        <w:ind w:firstLine="0"/>
        <w:jc w:val="center"/>
        <w:rPr>
          <w:color w:val="000000" w:themeColor="text1"/>
          <w:sz w:val="28"/>
        </w:rPr>
      </w:pPr>
    </w:p>
    <w:p w14:paraId="0F09A5B7">
      <w:pPr>
        <w:pStyle w:val="13"/>
        <w:spacing w:line="360" w:lineRule="auto"/>
        <w:ind w:firstLine="0"/>
        <w:jc w:val="center"/>
        <w:rPr>
          <w:color w:val="000000" w:themeColor="text1"/>
          <w:sz w:val="28"/>
        </w:rPr>
      </w:pPr>
    </w:p>
    <w:p w14:paraId="607E4237">
      <w:pPr>
        <w:pStyle w:val="13"/>
        <w:spacing w:line="360" w:lineRule="auto"/>
        <w:ind w:firstLine="0"/>
        <w:jc w:val="center"/>
        <w:rPr>
          <w:color w:val="000000" w:themeColor="text1"/>
          <w:sz w:val="28"/>
        </w:rPr>
      </w:pPr>
    </w:p>
    <w:p w14:paraId="5451A6DC">
      <w:pPr>
        <w:pStyle w:val="13"/>
        <w:spacing w:line="360" w:lineRule="auto"/>
        <w:ind w:firstLine="0"/>
        <w:jc w:val="center"/>
        <w:rPr>
          <w:color w:val="000000" w:themeColor="text1"/>
          <w:sz w:val="28"/>
        </w:rPr>
      </w:pPr>
    </w:p>
    <w:p w14:paraId="2CA05D30">
      <w:pPr>
        <w:pStyle w:val="13"/>
        <w:spacing w:line="360" w:lineRule="auto"/>
        <w:ind w:firstLine="0"/>
        <w:jc w:val="center"/>
        <w:rPr>
          <w:color w:val="000000" w:themeColor="text1"/>
          <w:sz w:val="28"/>
        </w:rPr>
      </w:pPr>
    </w:p>
    <w:p w14:paraId="3593C7EF">
      <w:pPr>
        <w:pStyle w:val="13"/>
        <w:spacing w:line="360" w:lineRule="auto"/>
        <w:ind w:firstLine="0"/>
        <w:jc w:val="center"/>
        <w:rPr>
          <w:color w:val="000000" w:themeColor="text1"/>
          <w:sz w:val="28"/>
        </w:rPr>
      </w:pPr>
    </w:p>
    <w:p w14:paraId="67229109">
      <w:pPr>
        <w:pStyle w:val="13"/>
        <w:spacing w:line="360" w:lineRule="auto"/>
        <w:ind w:firstLine="0"/>
        <w:jc w:val="center"/>
        <w:rPr>
          <w:color w:val="000000" w:themeColor="text1"/>
          <w:sz w:val="28"/>
        </w:rPr>
      </w:pPr>
    </w:p>
    <w:p w14:paraId="09F9C8CC">
      <w:pPr>
        <w:pStyle w:val="13"/>
        <w:spacing w:line="360" w:lineRule="auto"/>
        <w:ind w:firstLine="0"/>
        <w:jc w:val="center"/>
        <w:rPr>
          <w:color w:val="000000" w:themeColor="text1"/>
          <w:sz w:val="28"/>
        </w:rPr>
      </w:pPr>
    </w:p>
    <w:p w14:paraId="081A7C63">
      <w:pPr>
        <w:pStyle w:val="13"/>
        <w:spacing w:line="360" w:lineRule="auto"/>
        <w:ind w:firstLine="0"/>
        <w:jc w:val="center"/>
        <w:rPr>
          <w:color w:val="000000" w:themeColor="text1"/>
          <w:sz w:val="28"/>
        </w:rPr>
      </w:pPr>
    </w:p>
    <w:p w14:paraId="1A39DC91">
      <w:pPr>
        <w:pStyle w:val="13"/>
        <w:spacing w:line="360" w:lineRule="auto"/>
        <w:ind w:firstLine="0"/>
        <w:jc w:val="center"/>
        <w:rPr>
          <w:color w:val="000000" w:themeColor="text1"/>
          <w:sz w:val="28"/>
        </w:rPr>
      </w:pPr>
    </w:p>
    <w:p w14:paraId="0FB0E385">
      <w:pPr>
        <w:pStyle w:val="13"/>
        <w:spacing w:line="360" w:lineRule="auto"/>
        <w:ind w:firstLine="0"/>
        <w:jc w:val="center"/>
        <w:rPr>
          <w:color w:val="000000" w:themeColor="text1"/>
          <w:sz w:val="28"/>
        </w:rPr>
      </w:pPr>
    </w:p>
    <w:p w14:paraId="1E1833D2">
      <w:pPr>
        <w:pStyle w:val="13"/>
        <w:spacing w:line="360" w:lineRule="auto"/>
        <w:ind w:firstLine="0"/>
        <w:jc w:val="center"/>
        <w:rPr>
          <w:color w:val="000000" w:themeColor="text1"/>
          <w:sz w:val="28"/>
        </w:rPr>
      </w:pPr>
    </w:p>
    <w:p w14:paraId="2C1CD4D0">
      <w:pPr>
        <w:pStyle w:val="13"/>
        <w:spacing w:line="360" w:lineRule="auto"/>
        <w:ind w:firstLine="0"/>
        <w:jc w:val="center"/>
        <w:rPr>
          <w:color w:val="000000" w:themeColor="text1"/>
          <w:sz w:val="28"/>
        </w:rPr>
      </w:pPr>
    </w:p>
    <w:p w14:paraId="7A2849C1">
      <w:pPr>
        <w:pStyle w:val="13"/>
        <w:spacing w:line="360" w:lineRule="auto"/>
        <w:ind w:firstLine="0"/>
        <w:jc w:val="center"/>
        <w:rPr>
          <w:color w:val="000000" w:themeColor="text1"/>
          <w:sz w:val="28"/>
        </w:rPr>
      </w:pPr>
    </w:p>
    <w:p w14:paraId="74509AC0">
      <w:pPr>
        <w:pStyle w:val="13"/>
        <w:spacing w:line="360" w:lineRule="auto"/>
        <w:ind w:firstLine="0"/>
        <w:jc w:val="center"/>
        <w:rPr>
          <w:color w:val="000000" w:themeColor="text1"/>
          <w:sz w:val="28"/>
        </w:rPr>
      </w:pPr>
    </w:p>
    <w:p w14:paraId="762F2169">
      <w:pPr>
        <w:pStyle w:val="13"/>
        <w:spacing w:line="360" w:lineRule="auto"/>
        <w:ind w:firstLine="0"/>
        <w:jc w:val="center"/>
        <w:rPr>
          <w:color w:val="000000" w:themeColor="text1"/>
          <w:sz w:val="28"/>
        </w:rPr>
      </w:pPr>
    </w:p>
    <w:p w14:paraId="1BDB807C">
      <w:pPr>
        <w:pStyle w:val="13"/>
        <w:spacing w:line="360" w:lineRule="auto"/>
        <w:ind w:firstLine="0"/>
        <w:jc w:val="center"/>
        <w:rPr>
          <w:color w:val="000000" w:themeColor="text1"/>
          <w:sz w:val="28"/>
        </w:rPr>
      </w:pPr>
      <w:r>
        <w:rPr>
          <w:color w:val="000000" w:themeColor="text1"/>
          <w:sz w:val="28"/>
        </w:rPr>
        <w:t>法定代表人授权书（格式）</w:t>
      </w:r>
    </w:p>
    <w:p w14:paraId="28CB35C2">
      <w:pPr>
        <w:spacing w:line="360" w:lineRule="auto"/>
        <w:jc w:val="center"/>
        <w:rPr>
          <w:color w:val="000000" w:themeColor="text1"/>
        </w:rPr>
      </w:pPr>
    </w:p>
    <w:p w14:paraId="3B82233E">
      <w:pPr>
        <w:pStyle w:val="13"/>
        <w:spacing w:line="360" w:lineRule="auto"/>
        <w:rPr>
          <w:color w:val="000000" w:themeColor="text1"/>
        </w:rPr>
      </w:pPr>
      <w:r>
        <w:rPr>
          <w:color w:val="000000" w:themeColor="text1"/>
        </w:rPr>
        <w:t>本授权书声明：注册于（地点）的</w:t>
      </w:r>
      <w:r>
        <w:rPr>
          <w:color w:val="000000" w:themeColor="text1"/>
          <w:u w:val="single"/>
        </w:rPr>
        <w:t>（</w:t>
      </w:r>
      <w:r>
        <w:rPr>
          <w:color w:val="000000" w:themeColor="text1"/>
        </w:rPr>
        <w:t>竞商人）的在下面签字的（法人代表姓名、职务）代表本公司授权（单位）的在下面签字的（被授权人的姓名、职务）为本公司的合法代理人。代理人根据授权，以我方名义参加</w:t>
      </w:r>
      <w:r>
        <w:rPr>
          <w:rFonts w:hint="eastAsia" w:ascii="宋体" w:hAnsi="宋体"/>
          <w:bCs/>
          <w:color w:val="000000" w:themeColor="text1"/>
          <w:u w:val="single"/>
        </w:rPr>
        <w:t xml:space="preserve">       </w:t>
      </w:r>
      <w:r>
        <w:rPr>
          <w:rFonts w:hint="eastAsia"/>
          <w:color w:val="000000" w:themeColor="text1"/>
          <w:u w:val="single"/>
        </w:rPr>
        <w:t xml:space="preserve">     </w:t>
      </w:r>
      <w:r>
        <w:rPr>
          <w:color w:val="000000" w:themeColor="text1"/>
        </w:rPr>
        <w:t>的招商活动，代理人在招商活动中以我方名义竞商</w:t>
      </w:r>
      <w:r>
        <w:rPr>
          <w:rFonts w:hint="eastAsia"/>
          <w:color w:val="000000" w:themeColor="text1"/>
        </w:rPr>
        <w:t>报价</w:t>
      </w:r>
      <w:r>
        <w:rPr>
          <w:color w:val="000000" w:themeColor="text1"/>
        </w:rPr>
        <w:t>、签署、澄清、说明、补正、递交、撤回、修改竞商文件，参与合同谈判和签约等事宜、处理一切与之有关的一切事务，均为代表本公司的行为。本公司将承担代理人的一切及全部法律责任和后果。</w:t>
      </w:r>
    </w:p>
    <w:p w14:paraId="332EAEB9">
      <w:pPr>
        <w:pStyle w:val="13"/>
        <w:spacing w:line="360" w:lineRule="auto"/>
        <w:rPr>
          <w:color w:val="000000" w:themeColor="text1"/>
        </w:rPr>
      </w:pPr>
      <w:r>
        <w:rPr>
          <w:color w:val="000000" w:themeColor="text1"/>
        </w:rPr>
        <w:t>代理人无转委托权。</w:t>
      </w:r>
    </w:p>
    <w:p w14:paraId="081FCE2E">
      <w:pPr>
        <w:pStyle w:val="13"/>
        <w:spacing w:line="360" w:lineRule="auto"/>
        <w:rPr>
          <w:color w:val="000000" w:themeColor="text1"/>
        </w:rPr>
      </w:pPr>
      <w:r>
        <w:rPr>
          <w:color w:val="000000" w:themeColor="text1"/>
        </w:rPr>
        <w:t>本授权书于年月日签字生效，有效期为</w:t>
      </w:r>
      <w:r>
        <w:rPr>
          <w:rFonts w:hint="eastAsia"/>
          <w:color w:val="000000" w:themeColor="text1"/>
        </w:rPr>
        <w:t>120</w:t>
      </w:r>
      <w:r>
        <w:rPr>
          <w:color w:val="000000" w:themeColor="text1"/>
        </w:rPr>
        <w:t>天。</w:t>
      </w:r>
    </w:p>
    <w:p w14:paraId="43639F74">
      <w:pPr>
        <w:pStyle w:val="13"/>
        <w:spacing w:line="360" w:lineRule="auto"/>
        <w:rPr>
          <w:color w:val="000000" w:themeColor="text1"/>
        </w:rPr>
      </w:pPr>
      <w:r>
        <w:rPr>
          <w:color w:val="000000" w:themeColor="text1"/>
        </w:rPr>
        <w:t>特此声明。</w:t>
      </w:r>
    </w:p>
    <w:p w14:paraId="154D4E40">
      <w:pPr>
        <w:pStyle w:val="13"/>
        <w:spacing w:line="360" w:lineRule="auto"/>
        <w:ind w:firstLine="722"/>
        <w:rPr>
          <w:color w:val="000000" w:themeColor="text1"/>
        </w:rPr>
      </w:pPr>
      <w:r>
        <w:rPr>
          <w:color w:val="000000" w:themeColor="text1"/>
        </w:rPr>
        <w:t>附：委托代理人身份证明复印件</w:t>
      </w:r>
    </w:p>
    <w:p w14:paraId="79C89452">
      <w:pPr>
        <w:pStyle w:val="13"/>
        <w:spacing w:line="360" w:lineRule="auto"/>
        <w:ind w:firstLine="3480" w:firstLineChars="1450"/>
        <w:rPr>
          <w:color w:val="000000" w:themeColor="text1"/>
        </w:rPr>
      </w:pPr>
      <w:r>
        <w:rPr>
          <w:color w:val="000000" w:themeColor="text1"/>
        </w:rPr>
        <w:t>竞商人：（单位盖章）</w:t>
      </w:r>
    </w:p>
    <w:p w14:paraId="6B081240">
      <w:pPr>
        <w:pStyle w:val="13"/>
        <w:spacing w:line="360" w:lineRule="auto"/>
        <w:ind w:firstLine="3480" w:firstLineChars="1450"/>
        <w:rPr>
          <w:color w:val="000000" w:themeColor="text1"/>
        </w:rPr>
      </w:pPr>
      <w:r>
        <w:rPr>
          <w:color w:val="000000" w:themeColor="text1"/>
        </w:rPr>
        <w:t>法定代表人签字：</w:t>
      </w:r>
    </w:p>
    <w:p w14:paraId="7880182D">
      <w:pPr>
        <w:pStyle w:val="13"/>
        <w:spacing w:line="360" w:lineRule="auto"/>
        <w:ind w:firstLine="3480" w:firstLineChars="1450"/>
        <w:rPr>
          <w:color w:val="000000" w:themeColor="text1"/>
        </w:rPr>
      </w:pPr>
      <w:r>
        <w:rPr>
          <w:color w:val="000000" w:themeColor="text1"/>
        </w:rPr>
        <w:t>法定代表人身份证号：</w:t>
      </w:r>
    </w:p>
    <w:p w14:paraId="6B1A7C02">
      <w:pPr>
        <w:pStyle w:val="13"/>
        <w:spacing w:line="360" w:lineRule="auto"/>
        <w:ind w:firstLine="3480" w:firstLineChars="1450"/>
        <w:rPr>
          <w:color w:val="000000" w:themeColor="text1"/>
        </w:rPr>
      </w:pPr>
      <w:r>
        <w:rPr>
          <w:color w:val="000000" w:themeColor="text1"/>
        </w:rPr>
        <w:t>委托代理人签字盖章：</w:t>
      </w:r>
    </w:p>
    <w:p w14:paraId="4C2F4E3A">
      <w:pPr>
        <w:pStyle w:val="13"/>
        <w:spacing w:line="360" w:lineRule="auto"/>
        <w:ind w:firstLine="3480" w:firstLineChars="1450"/>
        <w:rPr>
          <w:color w:val="000000" w:themeColor="text1"/>
        </w:rPr>
      </w:pPr>
      <w:r>
        <w:rPr>
          <w:color w:val="000000" w:themeColor="text1"/>
        </w:rPr>
        <w:t>委托代理人身份证号：</w:t>
      </w:r>
    </w:p>
    <w:p w14:paraId="5ED67016">
      <w:pPr>
        <w:pStyle w:val="13"/>
        <w:spacing w:line="360" w:lineRule="auto"/>
        <w:ind w:firstLine="3480" w:firstLineChars="1450"/>
        <w:rPr>
          <w:color w:val="000000" w:themeColor="text1"/>
        </w:rPr>
      </w:pPr>
      <w:r>
        <w:rPr>
          <w:color w:val="000000" w:themeColor="text1"/>
        </w:rPr>
        <w:t>日期:    年月日</w:t>
      </w:r>
    </w:p>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14:paraId="3DA3E712">
      <w:pPr>
        <w:pStyle w:val="13"/>
        <w:spacing w:line="360" w:lineRule="auto"/>
        <w:ind w:firstLine="0"/>
        <w:rPr>
          <w:rFonts w:eastAsia="黑体"/>
          <w:color w:val="000000" w:themeColor="text1"/>
          <w:sz w:val="30"/>
        </w:rPr>
      </w:pPr>
      <w:bookmarkStart w:id="1227" w:name="_Toc67311769"/>
      <w:bookmarkStart w:id="1228" w:name="_Toc213520797"/>
      <w:bookmarkStart w:id="1229" w:name="_Toc283490458"/>
      <w:bookmarkStart w:id="1230" w:name="_Toc51494314"/>
      <w:bookmarkStart w:id="1231" w:name="_Toc283624850"/>
      <w:bookmarkStart w:id="1232" w:name="_Toc336244916"/>
      <w:bookmarkStart w:id="1233" w:name="_Toc51493934"/>
      <w:bookmarkStart w:id="1234" w:name="_Toc52961750"/>
      <w:bookmarkStart w:id="1235" w:name="_Toc354606616"/>
      <w:bookmarkStart w:id="1236" w:name="_Toc354606525"/>
      <w:bookmarkStart w:id="1237" w:name="_Toc336241712"/>
      <w:bookmarkStart w:id="1238" w:name="_Toc355742206"/>
      <w:bookmarkStart w:id="1239" w:name="_Toc51493809"/>
      <w:bookmarkStart w:id="1240" w:name="_Toc339016002"/>
      <w:bookmarkStart w:id="1241" w:name="_Toc355702930"/>
      <w:bookmarkStart w:id="1242" w:name="_Toc282418845"/>
      <w:bookmarkStart w:id="1243" w:name="_Toc282703579"/>
      <w:bookmarkStart w:id="1244" w:name="_Toc51494170"/>
      <w:bookmarkStart w:id="1245" w:name="_Toc66355857"/>
      <w:bookmarkStart w:id="1246" w:name="_Toc213155210"/>
      <w:bookmarkStart w:id="1247" w:name="_Toc214175930"/>
      <w:bookmarkStart w:id="1248" w:name="_Toc339464571"/>
      <w:bookmarkStart w:id="1249" w:name="_Toc356899020"/>
      <w:bookmarkStart w:id="1250" w:name="_Toc213516242"/>
      <w:bookmarkStart w:id="1251" w:name="_Toc355728833"/>
      <w:bookmarkStart w:id="1252" w:name="_Toc214341456"/>
      <w:bookmarkStart w:id="1253" w:name="_Toc354575330"/>
      <w:bookmarkStart w:id="1254" w:name="_Toc336238947"/>
      <w:bookmarkStart w:id="1255" w:name="_Toc355842548"/>
      <w:bookmarkStart w:id="1256" w:name="_Toc336245542"/>
      <w:bookmarkStart w:id="1257" w:name="_Toc283376907"/>
      <w:bookmarkStart w:id="1258" w:name="_Toc60191193"/>
      <w:bookmarkStart w:id="1259" w:name="_Toc282417499"/>
      <w:bookmarkStart w:id="1260" w:name="_Toc283735963"/>
      <w:bookmarkStart w:id="1261" w:name="_Toc53100529"/>
      <w:bookmarkStart w:id="1262" w:name="_Toc283376795"/>
      <w:bookmarkStart w:id="1263" w:name="_Toc355722054"/>
      <w:bookmarkStart w:id="1264" w:name="_Toc213155330"/>
      <w:bookmarkStart w:id="1265" w:name="_Toc283892630"/>
      <w:bookmarkStart w:id="1266" w:name="_Toc257903135"/>
      <w:bookmarkStart w:id="1267" w:name="_Toc338851189"/>
      <w:bookmarkStart w:id="1268" w:name="_Toc53100352"/>
      <w:bookmarkStart w:id="1269" w:name="_Toc257903235"/>
      <w:bookmarkStart w:id="1270" w:name="_Toc66356014"/>
      <w:bookmarkStart w:id="1271" w:name="_Toc355742683"/>
      <w:bookmarkStart w:id="1272" w:name="_Toc339016076"/>
    </w:p>
    <w:p w14:paraId="7D06BB13">
      <w:pPr>
        <w:pStyle w:val="13"/>
        <w:spacing w:line="360" w:lineRule="auto"/>
        <w:ind w:firstLine="0"/>
        <w:rPr>
          <w:rFonts w:eastAsia="黑体"/>
          <w:color w:val="000000" w:themeColor="text1"/>
          <w:sz w:val="30"/>
        </w:rPr>
      </w:pPr>
    </w:p>
    <w:p w14:paraId="6CA1A162">
      <w:pPr>
        <w:pStyle w:val="13"/>
        <w:spacing w:line="360" w:lineRule="auto"/>
        <w:ind w:firstLine="0"/>
        <w:rPr>
          <w:rFonts w:eastAsia="黑体"/>
          <w:color w:val="000000" w:themeColor="text1"/>
          <w:sz w:val="30"/>
        </w:rPr>
      </w:pPr>
    </w:p>
    <w:p w14:paraId="4AF53068">
      <w:pPr>
        <w:pStyle w:val="13"/>
        <w:spacing w:line="360" w:lineRule="auto"/>
        <w:ind w:firstLine="0"/>
        <w:rPr>
          <w:rFonts w:eastAsia="黑体"/>
          <w:color w:val="000000" w:themeColor="text1"/>
          <w:sz w:val="30"/>
        </w:rPr>
      </w:pPr>
    </w:p>
    <w:p w14:paraId="47F023D6">
      <w:pPr>
        <w:pStyle w:val="13"/>
        <w:spacing w:line="360" w:lineRule="auto"/>
        <w:ind w:firstLine="0"/>
        <w:rPr>
          <w:rFonts w:eastAsia="黑体"/>
          <w:color w:val="000000" w:themeColor="text1"/>
          <w:sz w:val="30"/>
        </w:rPr>
      </w:pPr>
    </w:p>
    <w:p w14:paraId="4A6CF506">
      <w:pPr>
        <w:pStyle w:val="13"/>
        <w:spacing w:line="360" w:lineRule="auto"/>
        <w:ind w:firstLine="0"/>
        <w:rPr>
          <w:rFonts w:eastAsia="黑体"/>
          <w:color w:val="000000" w:themeColor="text1"/>
          <w:sz w:val="30"/>
        </w:rPr>
      </w:pPr>
    </w:p>
    <w:p w14:paraId="29532C47">
      <w:pPr>
        <w:pStyle w:val="13"/>
        <w:spacing w:line="360" w:lineRule="auto"/>
        <w:ind w:firstLine="0"/>
        <w:rPr>
          <w:rFonts w:eastAsia="黑体"/>
          <w:color w:val="000000" w:themeColor="text1"/>
          <w:sz w:val="30"/>
        </w:rPr>
      </w:pPr>
    </w:p>
    <w:p w14:paraId="16AA9D27">
      <w:pPr>
        <w:pStyle w:val="13"/>
        <w:spacing w:line="360" w:lineRule="auto"/>
        <w:ind w:firstLine="0"/>
        <w:rPr>
          <w:rFonts w:eastAsia="黑体"/>
          <w:color w:val="000000" w:themeColor="text1"/>
          <w:sz w:val="30"/>
        </w:rPr>
      </w:pPr>
    </w:p>
    <w:p w14:paraId="4999D3C8">
      <w:pPr>
        <w:pStyle w:val="13"/>
        <w:spacing w:line="360" w:lineRule="auto"/>
        <w:ind w:firstLine="0"/>
        <w:rPr>
          <w:rFonts w:eastAsia="黑体"/>
          <w:color w:val="000000" w:themeColor="text1"/>
          <w:sz w:val="30"/>
        </w:rPr>
      </w:pPr>
    </w:p>
    <w:p w14:paraId="2F4D0B05">
      <w:pPr>
        <w:pStyle w:val="38"/>
        <w:outlineLvl w:val="0"/>
        <w:rPr>
          <w:rFonts w:ascii="Times New Roman" w:hAnsi="Times New Roman"/>
          <w:i w:val="0"/>
          <w:color w:val="000000" w:themeColor="text1"/>
          <w:sz w:val="30"/>
        </w:rPr>
      </w:pPr>
      <w:bookmarkStart w:id="1273" w:name="_Toc32614"/>
    </w:p>
    <w:p w14:paraId="5F65418F">
      <w:pPr>
        <w:pStyle w:val="38"/>
        <w:outlineLvl w:val="0"/>
        <w:rPr>
          <w:rFonts w:ascii="Times New Roman" w:hAnsi="Times New Roman"/>
          <w:i w:val="0"/>
          <w:color w:val="000000" w:themeColor="text1"/>
          <w:sz w:val="30"/>
        </w:rPr>
      </w:pPr>
      <w:r>
        <w:rPr>
          <w:rFonts w:ascii="Times New Roman" w:hAnsi="Times New Roman"/>
          <w:i w:val="0"/>
          <w:color w:val="000000" w:themeColor="text1"/>
          <w:sz w:val="30"/>
        </w:rPr>
        <w:t>格式4</w:t>
      </w:r>
      <w:r>
        <w:rPr>
          <w:rFonts w:hint="eastAsia" w:ascii="Times New Roman" w:hAnsi="Times New Roman"/>
          <w:i w:val="0"/>
          <w:color w:val="000000" w:themeColor="text1"/>
          <w:sz w:val="30"/>
        </w:rPr>
        <w:t>竞商</w:t>
      </w:r>
      <w:r>
        <w:rPr>
          <w:rFonts w:ascii="Times New Roman" w:hAnsi="Times New Roman"/>
          <w:i w:val="0"/>
          <w:color w:val="000000" w:themeColor="text1"/>
          <w:sz w:val="30"/>
        </w:rPr>
        <w:t>保证金</w:t>
      </w:r>
      <w:bookmarkEnd w:id="1273"/>
    </w:p>
    <w:p w14:paraId="4AA1E807">
      <w:pPr>
        <w:spacing w:line="360" w:lineRule="auto"/>
        <w:rPr>
          <w:iCs/>
          <w:color w:val="000000" w:themeColor="text1"/>
        </w:rPr>
      </w:pPr>
    </w:p>
    <w:p w14:paraId="71EFB076">
      <w:pPr>
        <w:spacing w:line="360" w:lineRule="auto"/>
        <w:rPr>
          <w:iCs/>
          <w:color w:val="000000" w:themeColor="text1"/>
          <w:szCs w:val="21"/>
        </w:rPr>
      </w:pPr>
      <w:r>
        <w:rPr>
          <w:iCs/>
          <w:color w:val="000000" w:themeColor="text1"/>
        </w:rPr>
        <w:t>致：</w:t>
      </w:r>
      <w:r>
        <w:rPr>
          <w:iCs/>
          <w:color w:val="000000" w:themeColor="text1"/>
          <w:u w:val="single"/>
        </w:rPr>
        <w:t>（招商单位名称）</w:t>
      </w:r>
    </w:p>
    <w:p w14:paraId="1DC70CAA">
      <w:pPr>
        <w:spacing w:line="360" w:lineRule="auto"/>
        <w:ind w:firstLine="480" w:firstLineChars="200"/>
        <w:rPr>
          <w:iCs/>
          <w:color w:val="000000" w:themeColor="text1"/>
          <w:szCs w:val="21"/>
        </w:rPr>
      </w:pPr>
      <w:r>
        <w:rPr>
          <w:iCs/>
          <w:color w:val="000000" w:themeColor="text1"/>
          <w:szCs w:val="21"/>
        </w:rPr>
        <w:t>我方</w:t>
      </w:r>
      <w:r>
        <w:rPr>
          <w:rFonts w:hint="eastAsia"/>
          <w:iCs/>
          <w:color w:val="000000" w:themeColor="text1"/>
          <w:szCs w:val="21"/>
        </w:rPr>
        <w:t>将</w:t>
      </w:r>
      <w:r>
        <w:rPr>
          <w:iCs/>
          <w:color w:val="000000" w:themeColor="text1"/>
          <w:szCs w:val="21"/>
        </w:rPr>
        <w:t>于年月日参加</w:t>
      </w:r>
      <w:r>
        <w:rPr>
          <w:rFonts w:hint="eastAsia"/>
          <w:iCs/>
          <w:color w:val="000000" w:themeColor="text1"/>
          <w:szCs w:val="21"/>
          <w:u w:val="single"/>
        </w:rPr>
        <w:t xml:space="preserve">      </w:t>
      </w:r>
      <w:r>
        <w:rPr>
          <w:iCs/>
          <w:color w:val="000000" w:themeColor="text1"/>
          <w:szCs w:val="21"/>
        </w:rPr>
        <w:t>（项目名称）（包件号）的</w:t>
      </w:r>
      <w:r>
        <w:rPr>
          <w:rFonts w:hint="eastAsia"/>
          <w:iCs/>
          <w:color w:val="000000" w:themeColor="text1"/>
          <w:szCs w:val="21"/>
        </w:rPr>
        <w:t>竞商</w:t>
      </w:r>
      <w:r>
        <w:rPr>
          <w:iCs/>
          <w:color w:val="000000" w:themeColor="text1"/>
          <w:szCs w:val="21"/>
        </w:rPr>
        <w:t>报价，我方已按照本项目</w:t>
      </w:r>
      <w:r>
        <w:rPr>
          <w:rFonts w:hint="eastAsia"/>
          <w:iCs/>
          <w:color w:val="000000" w:themeColor="text1"/>
          <w:szCs w:val="21"/>
        </w:rPr>
        <w:t>招商</w:t>
      </w:r>
      <w:r>
        <w:rPr>
          <w:iCs/>
          <w:color w:val="000000" w:themeColor="text1"/>
          <w:szCs w:val="21"/>
        </w:rPr>
        <w:t>文件的规定提交了金额为</w:t>
      </w:r>
      <w:r>
        <w:rPr>
          <w:rFonts w:hint="eastAsia"/>
          <w:iCs/>
          <w:color w:val="000000" w:themeColor="text1"/>
          <w:szCs w:val="21"/>
          <w:u w:val="single"/>
        </w:rPr>
        <w:t xml:space="preserve"> 5  </w:t>
      </w:r>
      <w:r>
        <w:rPr>
          <w:iCs/>
          <w:color w:val="000000" w:themeColor="text1"/>
          <w:szCs w:val="21"/>
        </w:rPr>
        <w:t>万元的</w:t>
      </w:r>
      <w:r>
        <w:rPr>
          <w:rFonts w:hint="eastAsia"/>
          <w:iCs/>
          <w:color w:val="000000" w:themeColor="text1"/>
          <w:szCs w:val="21"/>
        </w:rPr>
        <w:t>竞商</w:t>
      </w:r>
      <w:r>
        <w:rPr>
          <w:iCs/>
          <w:color w:val="000000" w:themeColor="text1"/>
          <w:szCs w:val="21"/>
        </w:rPr>
        <w:t>保证金（银行汇款凭证复印件</w:t>
      </w:r>
      <w:r>
        <w:rPr>
          <w:rFonts w:hint="eastAsia"/>
          <w:iCs/>
          <w:color w:val="000000" w:themeColor="text1"/>
          <w:szCs w:val="21"/>
        </w:rPr>
        <w:t>或第三方担保保单</w:t>
      </w:r>
      <w:r>
        <w:rPr>
          <w:iCs/>
          <w:color w:val="000000" w:themeColor="text1"/>
          <w:szCs w:val="21"/>
        </w:rPr>
        <w:t>附后），我方承诺出现以下情形时，你方可不予退还我方提交的</w:t>
      </w:r>
      <w:r>
        <w:rPr>
          <w:rFonts w:hint="eastAsia"/>
          <w:iCs/>
          <w:color w:val="000000" w:themeColor="text1"/>
          <w:szCs w:val="21"/>
        </w:rPr>
        <w:t>竞商</w:t>
      </w:r>
      <w:r>
        <w:rPr>
          <w:iCs/>
          <w:color w:val="000000" w:themeColor="text1"/>
          <w:szCs w:val="21"/>
        </w:rPr>
        <w:t>保证金：</w:t>
      </w:r>
    </w:p>
    <w:p w14:paraId="5881F249">
      <w:pPr>
        <w:spacing w:line="360" w:lineRule="auto"/>
        <w:ind w:firstLine="480" w:firstLineChars="200"/>
        <w:rPr>
          <w:iCs/>
          <w:color w:val="000000" w:themeColor="text1"/>
          <w:szCs w:val="21"/>
        </w:rPr>
      </w:pPr>
      <w:r>
        <w:rPr>
          <w:iCs/>
          <w:color w:val="000000" w:themeColor="text1"/>
          <w:szCs w:val="21"/>
        </w:rPr>
        <w:t>1. 在规定的</w:t>
      </w:r>
      <w:r>
        <w:rPr>
          <w:rFonts w:hint="eastAsia"/>
          <w:iCs/>
          <w:color w:val="000000" w:themeColor="text1"/>
          <w:szCs w:val="21"/>
        </w:rPr>
        <w:t>竞商</w:t>
      </w:r>
      <w:r>
        <w:rPr>
          <w:iCs/>
          <w:color w:val="000000" w:themeColor="text1"/>
          <w:szCs w:val="21"/>
        </w:rPr>
        <w:t>有效期内撤销报价文件。</w:t>
      </w:r>
    </w:p>
    <w:p w14:paraId="3ACBC0B4">
      <w:pPr>
        <w:spacing w:line="360" w:lineRule="auto"/>
        <w:ind w:firstLine="480" w:firstLineChars="200"/>
        <w:rPr>
          <w:iCs/>
          <w:color w:val="000000" w:themeColor="text1"/>
          <w:szCs w:val="21"/>
        </w:rPr>
      </w:pPr>
      <w:r>
        <w:rPr>
          <w:iCs/>
          <w:color w:val="000000" w:themeColor="text1"/>
          <w:szCs w:val="21"/>
        </w:rPr>
        <w:t>2. 相互串通，或者向</w:t>
      </w:r>
      <w:r>
        <w:rPr>
          <w:rFonts w:hint="eastAsia"/>
          <w:bCs/>
          <w:color w:val="000000" w:themeColor="text1"/>
        </w:rPr>
        <w:t>招商</w:t>
      </w:r>
      <w:r>
        <w:rPr>
          <w:iCs/>
          <w:color w:val="000000" w:themeColor="text1"/>
          <w:szCs w:val="21"/>
        </w:rPr>
        <w:t>小组成员行贿，或者以他人名义</w:t>
      </w:r>
      <w:r>
        <w:rPr>
          <w:rFonts w:hint="eastAsia"/>
          <w:iCs/>
          <w:color w:val="000000" w:themeColor="text1"/>
          <w:szCs w:val="21"/>
        </w:rPr>
        <w:t>竞商</w:t>
      </w:r>
      <w:r>
        <w:rPr>
          <w:iCs/>
          <w:color w:val="000000" w:themeColor="text1"/>
          <w:szCs w:val="21"/>
        </w:rPr>
        <w:t>报价，或者以其他方式弄虚作假谋取成交。</w:t>
      </w:r>
    </w:p>
    <w:p w14:paraId="1E5977E2">
      <w:pPr>
        <w:spacing w:line="360" w:lineRule="auto"/>
        <w:ind w:firstLine="480" w:firstLineChars="200"/>
        <w:rPr>
          <w:iCs/>
          <w:color w:val="000000" w:themeColor="text1"/>
          <w:szCs w:val="21"/>
        </w:rPr>
      </w:pPr>
      <w:r>
        <w:rPr>
          <w:iCs/>
          <w:color w:val="000000" w:themeColor="text1"/>
          <w:szCs w:val="21"/>
        </w:rPr>
        <w:t>3. 在收到</w:t>
      </w:r>
      <w:r>
        <w:rPr>
          <w:rFonts w:hint="eastAsia"/>
          <w:iCs/>
          <w:color w:val="000000" w:themeColor="text1"/>
          <w:szCs w:val="21"/>
        </w:rPr>
        <w:t>中商</w:t>
      </w:r>
      <w:r>
        <w:rPr>
          <w:iCs/>
          <w:color w:val="000000" w:themeColor="text1"/>
          <w:szCs w:val="21"/>
        </w:rPr>
        <w:t>通知书后，拒签合同或未按</w:t>
      </w:r>
      <w:r>
        <w:rPr>
          <w:rFonts w:hint="eastAsia"/>
          <w:iCs/>
          <w:color w:val="000000" w:themeColor="text1"/>
          <w:szCs w:val="21"/>
        </w:rPr>
        <w:t>招商</w:t>
      </w:r>
      <w:r>
        <w:rPr>
          <w:iCs/>
          <w:color w:val="000000" w:themeColor="text1"/>
          <w:szCs w:val="21"/>
        </w:rPr>
        <w:t>文件规定提交履约保证金。</w:t>
      </w:r>
    </w:p>
    <w:p w14:paraId="619E3920">
      <w:pPr>
        <w:spacing w:line="360" w:lineRule="auto"/>
        <w:ind w:firstLine="480" w:firstLineChars="200"/>
        <w:rPr>
          <w:color w:val="000000" w:themeColor="text1"/>
          <w:szCs w:val="21"/>
        </w:rPr>
      </w:pPr>
    </w:p>
    <w:p w14:paraId="4B8F3F88">
      <w:pPr>
        <w:spacing w:line="360" w:lineRule="auto"/>
        <w:ind w:firstLine="480" w:firstLineChars="200"/>
        <w:rPr>
          <w:color w:val="000000" w:themeColor="text1"/>
          <w:szCs w:val="21"/>
        </w:rPr>
      </w:pPr>
    </w:p>
    <w:p w14:paraId="1AD520AE">
      <w:pPr>
        <w:spacing w:line="360" w:lineRule="auto"/>
        <w:ind w:firstLine="4320" w:firstLineChars="1800"/>
        <w:rPr>
          <w:color w:val="000000" w:themeColor="text1"/>
          <w:szCs w:val="21"/>
        </w:rPr>
      </w:pPr>
    </w:p>
    <w:p w14:paraId="25D7E57D">
      <w:pPr>
        <w:spacing w:line="360" w:lineRule="auto"/>
        <w:ind w:firstLine="4320" w:firstLineChars="1800"/>
        <w:rPr>
          <w:color w:val="000000" w:themeColor="text1"/>
          <w:szCs w:val="21"/>
        </w:rPr>
      </w:pPr>
    </w:p>
    <w:p w14:paraId="3D188DD6">
      <w:pPr>
        <w:spacing w:line="360" w:lineRule="auto"/>
        <w:ind w:firstLine="4320" w:firstLineChars="1800"/>
        <w:rPr>
          <w:color w:val="000000" w:themeColor="text1"/>
          <w:szCs w:val="21"/>
        </w:rPr>
      </w:pPr>
    </w:p>
    <w:p w14:paraId="08B460E2">
      <w:pPr>
        <w:spacing w:line="360" w:lineRule="auto"/>
        <w:jc w:val="right"/>
        <w:rPr>
          <w:color w:val="000000" w:themeColor="text1"/>
          <w:szCs w:val="21"/>
        </w:rPr>
      </w:pPr>
      <w:r>
        <w:rPr>
          <w:rFonts w:hint="eastAsia"/>
          <w:bCs/>
          <w:color w:val="000000" w:themeColor="text1"/>
          <w:szCs w:val="21"/>
        </w:rPr>
        <w:t>竞商人</w:t>
      </w:r>
      <w:r>
        <w:rPr>
          <w:bCs/>
          <w:color w:val="000000" w:themeColor="text1"/>
        </w:rPr>
        <w:t>名称</w:t>
      </w:r>
      <w:r>
        <w:rPr>
          <w:color w:val="000000" w:themeColor="text1"/>
          <w:szCs w:val="21"/>
        </w:rPr>
        <w:t>：（盖单位章）</w:t>
      </w:r>
    </w:p>
    <w:p w14:paraId="7E085440">
      <w:pPr>
        <w:spacing w:line="360" w:lineRule="auto"/>
        <w:jc w:val="right"/>
        <w:rPr>
          <w:color w:val="000000" w:themeColor="text1"/>
          <w:szCs w:val="21"/>
        </w:rPr>
      </w:pPr>
      <w:r>
        <w:rPr>
          <w:color w:val="000000" w:themeColor="text1"/>
          <w:szCs w:val="21"/>
        </w:rPr>
        <w:t>法定代表人或其委托代理人：（签字）</w:t>
      </w:r>
    </w:p>
    <w:p w14:paraId="504B248F">
      <w:pPr>
        <w:spacing w:line="360" w:lineRule="auto"/>
        <w:jc w:val="right"/>
        <w:rPr>
          <w:color w:val="000000" w:themeColor="text1"/>
          <w:szCs w:val="21"/>
        </w:rPr>
      </w:pPr>
      <w:r>
        <w:rPr>
          <w:color w:val="000000" w:themeColor="text1"/>
          <w:szCs w:val="21"/>
        </w:rPr>
        <w:t>年月日</w:t>
      </w:r>
    </w:p>
    <w:p w14:paraId="48BA26AB">
      <w:pPr>
        <w:pStyle w:val="26"/>
        <w:spacing w:line="312" w:lineRule="auto"/>
        <w:ind w:left="72" w:right="72" w:firstLine="420"/>
        <w:rPr>
          <w:rFonts w:ascii="Times New Roman" w:hAnsi="Times New Roman"/>
          <w:color w:val="000000" w:themeColor="text1"/>
        </w:rPr>
      </w:pPr>
    </w:p>
    <w:p w14:paraId="58441E3A">
      <w:pPr>
        <w:spacing w:line="360" w:lineRule="auto"/>
        <w:rPr>
          <w:color w:val="000000" w:themeColor="text1"/>
          <w:szCs w:val="21"/>
        </w:rPr>
      </w:pPr>
      <w:r>
        <w:rPr>
          <w:color w:val="000000" w:themeColor="text1"/>
          <w:szCs w:val="21"/>
        </w:rPr>
        <w:t>附：银行汇款凭证复印件</w:t>
      </w:r>
    </w:p>
    <w:p w14:paraId="17B5E7B9">
      <w:pPr>
        <w:pStyle w:val="13"/>
        <w:spacing w:line="360" w:lineRule="auto"/>
        <w:ind w:firstLine="0"/>
        <w:rPr>
          <w:rFonts w:eastAsia="黑体"/>
          <w:color w:val="000000" w:themeColor="text1"/>
          <w:sz w:val="30"/>
        </w:rPr>
      </w:pPr>
    </w:p>
    <w:p w14:paraId="7D4FDBF2">
      <w:pPr>
        <w:pStyle w:val="13"/>
        <w:spacing w:line="360" w:lineRule="auto"/>
        <w:ind w:firstLine="0"/>
        <w:rPr>
          <w:rFonts w:eastAsia="黑体"/>
          <w:color w:val="000000" w:themeColor="text1"/>
          <w:sz w:val="30"/>
        </w:rPr>
      </w:pPr>
    </w:p>
    <w:p w14:paraId="341C638E">
      <w:pPr>
        <w:pStyle w:val="13"/>
        <w:spacing w:line="360" w:lineRule="auto"/>
        <w:ind w:firstLine="0"/>
        <w:rPr>
          <w:rFonts w:eastAsia="黑体"/>
          <w:color w:val="000000" w:themeColor="text1"/>
          <w:sz w:val="30"/>
        </w:rPr>
      </w:pPr>
    </w:p>
    <w:p w14:paraId="6BF1EC8B">
      <w:pPr>
        <w:pStyle w:val="13"/>
        <w:spacing w:line="360" w:lineRule="auto"/>
        <w:ind w:firstLine="0"/>
        <w:rPr>
          <w:rFonts w:eastAsia="黑体"/>
          <w:color w:val="000000" w:themeColor="text1"/>
          <w:sz w:val="30"/>
        </w:rPr>
      </w:pPr>
    </w:p>
    <w:p w14:paraId="0AB6FDDC">
      <w:pPr>
        <w:pStyle w:val="13"/>
        <w:spacing w:line="360" w:lineRule="auto"/>
        <w:ind w:firstLine="0"/>
        <w:rPr>
          <w:rFonts w:eastAsia="黑体"/>
          <w:color w:val="000000" w:themeColor="text1"/>
          <w:sz w:val="30"/>
        </w:rPr>
      </w:pPr>
    </w:p>
    <w:p w14:paraId="74773B55">
      <w:pPr>
        <w:pStyle w:val="13"/>
        <w:spacing w:line="360" w:lineRule="auto"/>
        <w:ind w:firstLine="0"/>
        <w:rPr>
          <w:rFonts w:eastAsia="黑体"/>
          <w:color w:val="000000" w:themeColor="text1"/>
          <w:sz w:val="30"/>
        </w:rPr>
      </w:pPr>
    </w:p>
    <w:p w14:paraId="1054D286">
      <w:pPr>
        <w:pStyle w:val="13"/>
        <w:spacing w:line="360" w:lineRule="auto"/>
        <w:ind w:firstLine="0"/>
        <w:rPr>
          <w:rFonts w:eastAsia="黑体"/>
          <w:color w:val="000000" w:themeColor="text1"/>
          <w:sz w:val="30"/>
        </w:rPr>
      </w:pPr>
    </w:p>
    <w:p w14:paraId="00AF2B51">
      <w:pPr>
        <w:pStyle w:val="13"/>
        <w:spacing w:line="360" w:lineRule="auto"/>
        <w:ind w:firstLine="0"/>
        <w:rPr>
          <w:rFonts w:eastAsia="黑体"/>
          <w:color w:val="000000" w:themeColor="text1"/>
          <w:sz w:val="30"/>
        </w:rPr>
      </w:pPr>
    </w:p>
    <w:p w14:paraId="1F80FAD0">
      <w:pPr>
        <w:pStyle w:val="13"/>
        <w:spacing w:line="360" w:lineRule="auto"/>
        <w:ind w:firstLine="0"/>
        <w:rPr>
          <w:rFonts w:eastAsia="黑体"/>
          <w:color w:val="000000" w:themeColor="text1"/>
          <w:sz w:val="30"/>
        </w:rPr>
      </w:pPr>
    </w:p>
    <w:p w14:paraId="6162F28B">
      <w:pPr>
        <w:ind w:firstLine="600"/>
        <w:jc w:val="center"/>
        <w:rPr>
          <w:rFonts w:eastAsia="黑体"/>
          <w:color w:val="000000" w:themeColor="text1"/>
          <w:sz w:val="28"/>
          <w:szCs w:val="32"/>
        </w:rPr>
      </w:pPr>
      <w:r>
        <w:rPr>
          <w:rFonts w:hint="eastAsia" w:eastAsia="黑体"/>
          <w:color w:val="000000" w:themeColor="text1"/>
          <w:sz w:val="28"/>
          <w:szCs w:val="32"/>
        </w:rPr>
        <w:t>竞商</w:t>
      </w:r>
      <w:r>
        <w:rPr>
          <w:rFonts w:eastAsia="黑体"/>
          <w:color w:val="000000" w:themeColor="text1"/>
          <w:sz w:val="28"/>
          <w:szCs w:val="32"/>
        </w:rPr>
        <w:t>人单位、银行账户信息一览表（用于退还保证金）</w:t>
      </w:r>
    </w:p>
    <w:p w14:paraId="5B8A542F">
      <w:pPr>
        <w:spacing w:line="560" w:lineRule="exact"/>
        <w:ind w:left="535" w:firstLine="420"/>
        <w:jc w:val="center"/>
        <w:rPr>
          <w:bCs/>
          <w:color w:val="000000" w:themeColor="text1"/>
          <w:szCs w:val="21"/>
        </w:rPr>
      </w:pPr>
    </w:p>
    <w:tbl>
      <w:tblPr>
        <w:tblStyle w:val="52"/>
        <w:tblW w:w="0" w:type="auto"/>
        <w:jc w:val="center"/>
        <w:tblLayout w:type="fixed"/>
        <w:tblCellMar>
          <w:top w:w="0" w:type="dxa"/>
          <w:left w:w="108" w:type="dxa"/>
          <w:bottom w:w="0" w:type="dxa"/>
          <w:right w:w="108" w:type="dxa"/>
        </w:tblCellMar>
      </w:tblPr>
      <w:tblGrid>
        <w:gridCol w:w="3303"/>
        <w:gridCol w:w="76"/>
        <w:gridCol w:w="5461"/>
      </w:tblGrid>
      <w:tr w14:paraId="65155730">
        <w:tblPrEx>
          <w:tblCellMar>
            <w:top w:w="0" w:type="dxa"/>
            <w:left w:w="108" w:type="dxa"/>
            <w:bottom w:w="0" w:type="dxa"/>
            <w:right w:w="108" w:type="dxa"/>
          </w:tblCellMar>
        </w:tblPrEx>
        <w:trPr>
          <w:trHeight w:val="621" w:hRule="atLeast"/>
          <w:jc w:val="center"/>
        </w:trPr>
        <w:tc>
          <w:tcPr>
            <w:tcW w:w="8840" w:type="dxa"/>
            <w:gridSpan w:val="3"/>
            <w:tcBorders>
              <w:top w:val="single" w:color="auto" w:sz="8" w:space="0"/>
              <w:left w:val="single" w:color="auto" w:sz="8" w:space="0"/>
              <w:bottom w:val="single" w:color="auto" w:sz="4" w:space="0"/>
              <w:right w:val="single" w:color="auto" w:sz="4" w:space="0"/>
            </w:tcBorders>
            <w:vAlign w:val="center"/>
          </w:tcPr>
          <w:p w14:paraId="43604AFB">
            <w:pPr>
              <w:rPr>
                <w:bCs/>
                <w:color w:val="000000" w:themeColor="text1"/>
                <w:szCs w:val="21"/>
              </w:rPr>
            </w:pPr>
            <w:r>
              <w:rPr>
                <w:color w:val="000000" w:themeColor="text1"/>
                <w:szCs w:val="21"/>
              </w:rPr>
              <w:t>致：</w:t>
            </w:r>
            <w:r>
              <w:rPr>
                <w:rFonts w:hint="eastAsia"/>
                <w:color w:val="000000" w:themeColor="text1"/>
                <w:szCs w:val="21"/>
              </w:rPr>
              <w:t>招商单位</w:t>
            </w:r>
          </w:p>
        </w:tc>
      </w:tr>
      <w:tr w14:paraId="32F7E423">
        <w:tblPrEx>
          <w:tblCellMar>
            <w:top w:w="0" w:type="dxa"/>
            <w:left w:w="108" w:type="dxa"/>
            <w:bottom w:w="0" w:type="dxa"/>
            <w:right w:w="108" w:type="dxa"/>
          </w:tblCellMar>
        </w:tblPrEx>
        <w:trPr>
          <w:trHeight w:val="753" w:hRule="atLeast"/>
          <w:jc w:val="center"/>
        </w:trPr>
        <w:tc>
          <w:tcPr>
            <w:tcW w:w="3303" w:type="dxa"/>
            <w:tcBorders>
              <w:top w:val="single" w:color="auto" w:sz="4" w:space="0"/>
              <w:left w:val="single" w:color="auto" w:sz="8" w:space="0"/>
              <w:bottom w:val="single" w:color="auto" w:sz="4" w:space="0"/>
              <w:right w:val="single" w:color="auto" w:sz="4" w:space="0"/>
            </w:tcBorders>
            <w:vAlign w:val="center"/>
          </w:tcPr>
          <w:p w14:paraId="352029F1">
            <w:pPr>
              <w:rPr>
                <w:color w:val="000000" w:themeColor="text1"/>
                <w:szCs w:val="21"/>
              </w:rPr>
            </w:pPr>
            <w:r>
              <w:rPr>
                <w:rFonts w:hint="eastAsia"/>
                <w:color w:val="000000" w:themeColor="text1"/>
                <w:szCs w:val="21"/>
              </w:rPr>
              <w:t>招商</w:t>
            </w:r>
            <w:r>
              <w:rPr>
                <w:color w:val="000000" w:themeColor="text1"/>
                <w:szCs w:val="21"/>
              </w:rPr>
              <w:t>项目名称</w:t>
            </w:r>
          </w:p>
        </w:tc>
        <w:tc>
          <w:tcPr>
            <w:tcW w:w="5537" w:type="dxa"/>
            <w:gridSpan w:val="2"/>
            <w:tcBorders>
              <w:top w:val="single" w:color="auto" w:sz="4" w:space="0"/>
              <w:left w:val="nil"/>
              <w:bottom w:val="single" w:color="auto" w:sz="4" w:space="0"/>
              <w:right w:val="single" w:color="auto" w:sz="4" w:space="0"/>
            </w:tcBorders>
            <w:vAlign w:val="center"/>
          </w:tcPr>
          <w:p w14:paraId="6EA77BAD">
            <w:pPr>
              <w:jc w:val="center"/>
              <w:rPr>
                <w:color w:val="000000" w:themeColor="text1"/>
                <w:szCs w:val="21"/>
              </w:rPr>
            </w:pPr>
          </w:p>
        </w:tc>
      </w:tr>
      <w:tr w14:paraId="0CCD9AA8">
        <w:tblPrEx>
          <w:tblCellMar>
            <w:top w:w="0" w:type="dxa"/>
            <w:left w:w="108" w:type="dxa"/>
            <w:bottom w:w="0" w:type="dxa"/>
            <w:right w:w="108" w:type="dxa"/>
          </w:tblCellMar>
        </w:tblPrEx>
        <w:trPr>
          <w:trHeight w:val="776" w:hRule="atLeast"/>
          <w:jc w:val="center"/>
        </w:trPr>
        <w:tc>
          <w:tcPr>
            <w:tcW w:w="3303" w:type="dxa"/>
            <w:tcBorders>
              <w:top w:val="single" w:color="auto" w:sz="4" w:space="0"/>
              <w:left w:val="single" w:color="auto" w:sz="8" w:space="0"/>
              <w:bottom w:val="single" w:color="auto" w:sz="4" w:space="0"/>
              <w:right w:val="single" w:color="auto" w:sz="4" w:space="0"/>
            </w:tcBorders>
            <w:vAlign w:val="center"/>
          </w:tcPr>
          <w:p w14:paraId="760474CB">
            <w:pPr>
              <w:rPr>
                <w:color w:val="000000" w:themeColor="text1"/>
                <w:szCs w:val="21"/>
              </w:rPr>
            </w:pPr>
            <w:r>
              <w:rPr>
                <w:rFonts w:hint="eastAsia"/>
                <w:color w:val="000000" w:themeColor="text1"/>
                <w:szCs w:val="21"/>
              </w:rPr>
              <w:t>招商</w:t>
            </w:r>
            <w:r>
              <w:rPr>
                <w:color w:val="000000" w:themeColor="text1"/>
                <w:szCs w:val="21"/>
              </w:rPr>
              <w:t>编号</w:t>
            </w:r>
          </w:p>
        </w:tc>
        <w:tc>
          <w:tcPr>
            <w:tcW w:w="5537" w:type="dxa"/>
            <w:gridSpan w:val="2"/>
            <w:tcBorders>
              <w:top w:val="single" w:color="auto" w:sz="4" w:space="0"/>
              <w:left w:val="nil"/>
              <w:bottom w:val="single" w:color="auto" w:sz="4" w:space="0"/>
              <w:right w:val="single" w:color="auto" w:sz="4" w:space="0"/>
            </w:tcBorders>
            <w:vAlign w:val="center"/>
          </w:tcPr>
          <w:p w14:paraId="641284C0">
            <w:pPr>
              <w:jc w:val="center"/>
              <w:rPr>
                <w:color w:val="000000" w:themeColor="text1"/>
                <w:szCs w:val="21"/>
              </w:rPr>
            </w:pPr>
          </w:p>
        </w:tc>
      </w:tr>
      <w:tr w14:paraId="234D448E">
        <w:tblPrEx>
          <w:tblCellMar>
            <w:top w:w="0" w:type="dxa"/>
            <w:left w:w="108" w:type="dxa"/>
            <w:bottom w:w="0" w:type="dxa"/>
            <w:right w:w="108" w:type="dxa"/>
          </w:tblCellMar>
        </w:tblPrEx>
        <w:trPr>
          <w:trHeight w:val="616" w:hRule="atLeast"/>
          <w:jc w:val="center"/>
        </w:trPr>
        <w:tc>
          <w:tcPr>
            <w:tcW w:w="3303" w:type="dxa"/>
            <w:tcBorders>
              <w:top w:val="single" w:color="auto" w:sz="4" w:space="0"/>
              <w:left w:val="single" w:color="auto" w:sz="8" w:space="0"/>
              <w:bottom w:val="single" w:color="auto" w:sz="4" w:space="0"/>
              <w:right w:val="single" w:color="auto" w:sz="4" w:space="0"/>
            </w:tcBorders>
            <w:vAlign w:val="center"/>
          </w:tcPr>
          <w:p w14:paraId="0912C1C4">
            <w:pPr>
              <w:rPr>
                <w:color w:val="000000" w:themeColor="text1"/>
                <w:szCs w:val="21"/>
              </w:rPr>
            </w:pPr>
            <w:r>
              <w:rPr>
                <w:color w:val="000000" w:themeColor="text1"/>
                <w:szCs w:val="21"/>
              </w:rPr>
              <w:t>交纳保证金金额大写</w:t>
            </w:r>
          </w:p>
        </w:tc>
        <w:tc>
          <w:tcPr>
            <w:tcW w:w="5537" w:type="dxa"/>
            <w:gridSpan w:val="2"/>
            <w:tcBorders>
              <w:top w:val="single" w:color="auto" w:sz="4" w:space="0"/>
              <w:left w:val="nil"/>
              <w:bottom w:val="single" w:color="auto" w:sz="4" w:space="0"/>
              <w:right w:val="single" w:color="auto" w:sz="4" w:space="0"/>
            </w:tcBorders>
            <w:vAlign w:val="center"/>
          </w:tcPr>
          <w:p w14:paraId="133447E5">
            <w:pPr>
              <w:jc w:val="center"/>
              <w:rPr>
                <w:color w:val="000000" w:themeColor="text1"/>
                <w:szCs w:val="21"/>
              </w:rPr>
            </w:pPr>
          </w:p>
        </w:tc>
      </w:tr>
      <w:tr w14:paraId="3F80C8FC">
        <w:tblPrEx>
          <w:tblCellMar>
            <w:top w:w="0" w:type="dxa"/>
            <w:left w:w="108" w:type="dxa"/>
            <w:bottom w:w="0" w:type="dxa"/>
            <w:right w:w="108" w:type="dxa"/>
          </w:tblCellMar>
        </w:tblPrEx>
        <w:trPr>
          <w:trHeight w:val="613" w:hRule="atLeast"/>
          <w:jc w:val="center"/>
        </w:trPr>
        <w:tc>
          <w:tcPr>
            <w:tcW w:w="3303" w:type="dxa"/>
            <w:tcBorders>
              <w:top w:val="single" w:color="auto" w:sz="4" w:space="0"/>
              <w:left w:val="single" w:color="auto" w:sz="8" w:space="0"/>
              <w:bottom w:val="single" w:color="auto" w:sz="8" w:space="0"/>
              <w:right w:val="single" w:color="auto" w:sz="4" w:space="0"/>
            </w:tcBorders>
            <w:vAlign w:val="center"/>
          </w:tcPr>
          <w:p w14:paraId="7C560CAC">
            <w:pPr>
              <w:rPr>
                <w:color w:val="000000" w:themeColor="text1"/>
                <w:szCs w:val="21"/>
              </w:rPr>
            </w:pPr>
            <w:r>
              <w:rPr>
                <w:color w:val="000000" w:themeColor="text1"/>
                <w:szCs w:val="21"/>
              </w:rPr>
              <w:t>交纳保证金方式</w:t>
            </w:r>
          </w:p>
        </w:tc>
        <w:tc>
          <w:tcPr>
            <w:tcW w:w="5537" w:type="dxa"/>
            <w:gridSpan w:val="2"/>
            <w:tcBorders>
              <w:top w:val="single" w:color="auto" w:sz="4" w:space="0"/>
              <w:left w:val="nil"/>
              <w:bottom w:val="single" w:color="auto" w:sz="8" w:space="0"/>
              <w:right w:val="single" w:color="auto" w:sz="4" w:space="0"/>
            </w:tcBorders>
            <w:vAlign w:val="center"/>
          </w:tcPr>
          <w:p w14:paraId="611D4764">
            <w:pPr>
              <w:jc w:val="center"/>
              <w:rPr>
                <w:color w:val="000000" w:themeColor="text1"/>
                <w:szCs w:val="21"/>
              </w:rPr>
            </w:pPr>
          </w:p>
        </w:tc>
      </w:tr>
      <w:tr w14:paraId="35DEEE82">
        <w:tblPrEx>
          <w:tblCellMar>
            <w:top w:w="0" w:type="dxa"/>
            <w:left w:w="108" w:type="dxa"/>
            <w:bottom w:w="0" w:type="dxa"/>
            <w:right w:w="108" w:type="dxa"/>
          </w:tblCellMar>
        </w:tblPrEx>
        <w:trPr>
          <w:trHeight w:val="902" w:hRule="atLeast"/>
          <w:jc w:val="center"/>
        </w:trPr>
        <w:tc>
          <w:tcPr>
            <w:tcW w:w="8840" w:type="dxa"/>
            <w:gridSpan w:val="3"/>
            <w:tcBorders>
              <w:top w:val="nil"/>
              <w:left w:val="single" w:color="auto" w:sz="8" w:space="0"/>
              <w:bottom w:val="single" w:color="auto" w:sz="4" w:space="0"/>
              <w:right w:val="single" w:color="auto" w:sz="4" w:space="0"/>
            </w:tcBorders>
            <w:vAlign w:val="center"/>
          </w:tcPr>
          <w:p w14:paraId="69EF3555">
            <w:pPr>
              <w:rPr>
                <w:color w:val="000000" w:themeColor="text1"/>
                <w:szCs w:val="21"/>
              </w:rPr>
            </w:pPr>
            <w:r>
              <w:rPr>
                <w:color w:val="000000" w:themeColor="text1"/>
                <w:szCs w:val="21"/>
              </w:rPr>
              <w:t>请求退还保证金信息：加盖公章或财务专用章</w:t>
            </w:r>
          </w:p>
        </w:tc>
      </w:tr>
      <w:tr w14:paraId="3A38A9C2">
        <w:tblPrEx>
          <w:tblCellMar>
            <w:top w:w="0" w:type="dxa"/>
            <w:left w:w="108" w:type="dxa"/>
            <w:bottom w:w="0" w:type="dxa"/>
            <w:right w:w="108" w:type="dxa"/>
          </w:tblCellMar>
        </w:tblPrEx>
        <w:trPr>
          <w:trHeight w:val="763" w:hRule="atLeast"/>
          <w:jc w:val="center"/>
        </w:trPr>
        <w:tc>
          <w:tcPr>
            <w:tcW w:w="3379" w:type="dxa"/>
            <w:gridSpan w:val="2"/>
            <w:tcBorders>
              <w:top w:val="single" w:color="auto" w:sz="4" w:space="0"/>
              <w:left w:val="single" w:color="auto" w:sz="8" w:space="0"/>
              <w:bottom w:val="single" w:color="auto" w:sz="4" w:space="0"/>
              <w:right w:val="single" w:color="auto" w:sz="4" w:space="0"/>
            </w:tcBorders>
            <w:vAlign w:val="center"/>
          </w:tcPr>
          <w:p w14:paraId="7BEDB341">
            <w:pPr>
              <w:rPr>
                <w:color w:val="000000" w:themeColor="text1"/>
                <w:szCs w:val="21"/>
              </w:rPr>
            </w:pPr>
            <w:r>
              <w:rPr>
                <w:color w:val="000000" w:themeColor="text1"/>
                <w:szCs w:val="21"/>
              </w:rPr>
              <w:t>单位名称</w:t>
            </w:r>
          </w:p>
        </w:tc>
        <w:tc>
          <w:tcPr>
            <w:tcW w:w="5461" w:type="dxa"/>
            <w:tcBorders>
              <w:top w:val="single" w:color="auto" w:sz="4" w:space="0"/>
              <w:left w:val="nil"/>
              <w:bottom w:val="single" w:color="auto" w:sz="4" w:space="0"/>
              <w:right w:val="single" w:color="auto" w:sz="4" w:space="0"/>
            </w:tcBorders>
            <w:vAlign w:val="center"/>
          </w:tcPr>
          <w:p w14:paraId="37BB61B2">
            <w:pPr>
              <w:jc w:val="center"/>
              <w:rPr>
                <w:color w:val="000000" w:themeColor="text1"/>
                <w:szCs w:val="21"/>
              </w:rPr>
            </w:pPr>
          </w:p>
        </w:tc>
      </w:tr>
      <w:tr w14:paraId="2F366FCA">
        <w:tblPrEx>
          <w:tblCellMar>
            <w:top w:w="0" w:type="dxa"/>
            <w:left w:w="108" w:type="dxa"/>
            <w:bottom w:w="0" w:type="dxa"/>
            <w:right w:w="108" w:type="dxa"/>
          </w:tblCellMar>
        </w:tblPrEx>
        <w:trPr>
          <w:trHeight w:val="772" w:hRule="atLeast"/>
          <w:jc w:val="center"/>
        </w:trPr>
        <w:tc>
          <w:tcPr>
            <w:tcW w:w="3379" w:type="dxa"/>
            <w:gridSpan w:val="2"/>
            <w:tcBorders>
              <w:top w:val="single" w:color="auto" w:sz="4" w:space="0"/>
              <w:left w:val="single" w:color="auto" w:sz="8" w:space="0"/>
              <w:bottom w:val="single" w:color="auto" w:sz="4" w:space="0"/>
              <w:right w:val="single" w:color="auto" w:sz="4" w:space="0"/>
            </w:tcBorders>
            <w:vAlign w:val="center"/>
          </w:tcPr>
          <w:p w14:paraId="2B8A7027">
            <w:pPr>
              <w:rPr>
                <w:color w:val="000000" w:themeColor="text1"/>
                <w:szCs w:val="21"/>
              </w:rPr>
            </w:pPr>
            <w:r>
              <w:rPr>
                <w:color w:val="000000" w:themeColor="text1"/>
                <w:szCs w:val="21"/>
              </w:rPr>
              <w:t>银行账户账号</w:t>
            </w:r>
          </w:p>
        </w:tc>
        <w:tc>
          <w:tcPr>
            <w:tcW w:w="5461" w:type="dxa"/>
            <w:tcBorders>
              <w:top w:val="single" w:color="auto" w:sz="4" w:space="0"/>
              <w:left w:val="nil"/>
              <w:bottom w:val="single" w:color="auto" w:sz="4" w:space="0"/>
              <w:right w:val="single" w:color="auto" w:sz="4" w:space="0"/>
            </w:tcBorders>
            <w:vAlign w:val="center"/>
          </w:tcPr>
          <w:p w14:paraId="5B713D6F">
            <w:pPr>
              <w:jc w:val="center"/>
              <w:rPr>
                <w:color w:val="000000" w:themeColor="text1"/>
                <w:szCs w:val="21"/>
              </w:rPr>
            </w:pPr>
          </w:p>
        </w:tc>
      </w:tr>
      <w:tr w14:paraId="6FFA9CB2">
        <w:tblPrEx>
          <w:tblCellMar>
            <w:top w:w="0" w:type="dxa"/>
            <w:left w:w="108" w:type="dxa"/>
            <w:bottom w:w="0" w:type="dxa"/>
            <w:right w:w="108" w:type="dxa"/>
          </w:tblCellMar>
        </w:tblPrEx>
        <w:trPr>
          <w:trHeight w:val="754" w:hRule="atLeast"/>
          <w:jc w:val="center"/>
        </w:trPr>
        <w:tc>
          <w:tcPr>
            <w:tcW w:w="3379" w:type="dxa"/>
            <w:gridSpan w:val="2"/>
            <w:tcBorders>
              <w:top w:val="single" w:color="auto" w:sz="4" w:space="0"/>
              <w:left w:val="single" w:color="auto" w:sz="8" w:space="0"/>
              <w:bottom w:val="single" w:color="auto" w:sz="4" w:space="0"/>
              <w:right w:val="single" w:color="auto" w:sz="4" w:space="0"/>
            </w:tcBorders>
            <w:vAlign w:val="center"/>
          </w:tcPr>
          <w:p w14:paraId="5EAA68B8">
            <w:pPr>
              <w:rPr>
                <w:color w:val="000000" w:themeColor="text1"/>
                <w:szCs w:val="21"/>
              </w:rPr>
            </w:pPr>
            <w:r>
              <w:rPr>
                <w:color w:val="000000" w:themeColor="text1"/>
                <w:szCs w:val="21"/>
              </w:rPr>
              <w:t>银行账户开户行</w:t>
            </w:r>
          </w:p>
        </w:tc>
        <w:tc>
          <w:tcPr>
            <w:tcW w:w="5461" w:type="dxa"/>
            <w:tcBorders>
              <w:top w:val="single" w:color="auto" w:sz="4" w:space="0"/>
              <w:left w:val="nil"/>
              <w:bottom w:val="single" w:color="auto" w:sz="4" w:space="0"/>
              <w:right w:val="single" w:color="auto" w:sz="4" w:space="0"/>
            </w:tcBorders>
            <w:vAlign w:val="center"/>
          </w:tcPr>
          <w:p w14:paraId="56E45898">
            <w:pPr>
              <w:jc w:val="center"/>
              <w:rPr>
                <w:color w:val="000000" w:themeColor="text1"/>
                <w:szCs w:val="21"/>
              </w:rPr>
            </w:pPr>
          </w:p>
        </w:tc>
      </w:tr>
      <w:tr w14:paraId="0E1FC1FB">
        <w:tblPrEx>
          <w:tblCellMar>
            <w:top w:w="0" w:type="dxa"/>
            <w:left w:w="108" w:type="dxa"/>
            <w:bottom w:w="0" w:type="dxa"/>
            <w:right w:w="108" w:type="dxa"/>
          </w:tblCellMar>
        </w:tblPrEx>
        <w:trPr>
          <w:trHeight w:val="778" w:hRule="atLeast"/>
          <w:jc w:val="center"/>
        </w:trPr>
        <w:tc>
          <w:tcPr>
            <w:tcW w:w="3379" w:type="dxa"/>
            <w:gridSpan w:val="2"/>
            <w:tcBorders>
              <w:top w:val="single" w:color="auto" w:sz="4" w:space="0"/>
              <w:left w:val="single" w:color="auto" w:sz="8" w:space="0"/>
              <w:bottom w:val="single" w:color="auto" w:sz="4" w:space="0"/>
              <w:right w:val="nil"/>
            </w:tcBorders>
            <w:vAlign w:val="center"/>
          </w:tcPr>
          <w:p w14:paraId="43ED4485">
            <w:pPr>
              <w:rPr>
                <w:color w:val="000000" w:themeColor="text1"/>
                <w:szCs w:val="21"/>
              </w:rPr>
            </w:pPr>
            <w:r>
              <w:rPr>
                <w:color w:val="000000" w:themeColor="text1"/>
                <w:szCs w:val="21"/>
              </w:rPr>
              <w:t>纳税人识别号（税号）:</w:t>
            </w:r>
          </w:p>
        </w:tc>
        <w:tc>
          <w:tcPr>
            <w:tcW w:w="5461" w:type="dxa"/>
            <w:tcBorders>
              <w:top w:val="single" w:color="auto" w:sz="4" w:space="0"/>
              <w:left w:val="single" w:color="auto" w:sz="4" w:space="0"/>
              <w:bottom w:val="single" w:color="auto" w:sz="4" w:space="0"/>
              <w:right w:val="single" w:color="auto" w:sz="4" w:space="0"/>
            </w:tcBorders>
            <w:vAlign w:val="center"/>
          </w:tcPr>
          <w:p w14:paraId="33B4642C">
            <w:pPr>
              <w:jc w:val="center"/>
              <w:rPr>
                <w:color w:val="000000" w:themeColor="text1"/>
                <w:szCs w:val="21"/>
              </w:rPr>
            </w:pPr>
          </w:p>
        </w:tc>
      </w:tr>
      <w:tr w14:paraId="56644AE6">
        <w:tblPrEx>
          <w:tblCellMar>
            <w:top w:w="0" w:type="dxa"/>
            <w:left w:w="108" w:type="dxa"/>
            <w:bottom w:w="0" w:type="dxa"/>
            <w:right w:w="108" w:type="dxa"/>
          </w:tblCellMar>
        </w:tblPrEx>
        <w:trPr>
          <w:trHeight w:val="760" w:hRule="atLeast"/>
          <w:jc w:val="center"/>
        </w:trPr>
        <w:tc>
          <w:tcPr>
            <w:tcW w:w="3379" w:type="dxa"/>
            <w:gridSpan w:val="2"/>
            <w:tcBorders>
              <w:top w:val="single" w:color="auto" w:sz="4" w:space="0"/>
              <w:left w:val="single" w:color="auto" w:sz="8" w:space="0"/>
              <w:bottom w:val="single" w:color="auto" w:sz="4" w:space="0"/>
              <w:right w:val="single" w:color="auto" w:sz="4" w:space="0"/>
            </w:tcBorders>
            <w:vAlign w:val="center"/>
          </w:tcPr>
          <w:p w14:paraId="1E98DE7B">
            <w:pPr>
              <w:rPr>
                <w:color w:val="000000" w:themeColor="text1"/>
                <w:szCs w:val="21"/>
              </w:rPr>
            </w:pPr>
            <w:r>
              <w:rPr>
                <w:color w:val="000000" w:themeColor="text1"/>
                <w:szCs w:val="21"/>
              </w:rPr>
              <w:t>地址</w:t>
            </w:r>
          </w:p>
        </w:tc>
        <w:tc>
          <w:tcPr>
            <w:tcW w:w="5461" w:type="dxa"/>
            <w:tcBorders>
              <w:top w:val="single" w:color="auto" w:sz="4" w:space="0"/>
              <w:left w:val="nil"/>
              <w:bottom w:val="single" w:color="auto" w:sz="4" w:space="0"/>
              <w:right w:val="single" w:color="auto" w:sz="4" w:space="0"/>
            </w:tcBorders>
            <w:vAlign w:val="center"/>
          </w:tcPr>
          <w:p w14:paraId="242F7FA3">
            <w:pPr>
              <w:jc w:val="center"/>
              <w:rPr>
                <w:color w:val="000000" w:themeColor="text1"/>
                <w:szCs w:val="21"/>
              </w:rPr>
            </w:pPr>
          </w:p>
        </w:tc>
      </w:tr>
      <w:tr w14:paraId="0F832941">
        <w:tblPrEx>
          <w:tblCellMar>
            <w:top w:w="0" w:type="dxa"/>
            <w:left w:w="108" w:type="dxa"/>
            <w:bottom w:w="0" w:type="dxa"/>
            <w:right w:w="108" w:type="dxa"/>
          </w:tblCellMar>
        </w:tblPrEx>
        <w:trPr>
          <w:trHeight w:val="785" w:hRule="atLeast"/>
          <w:jc w:val="center"/>
        </w:trPr>
        <w:tc>
          <w:tcPr>
            <w:tcW w:w="3379" w:type="dxa"/>
            <w:gridSpan w:val="2"/>
            <w:tcBorders>
              <w:top w:val="single" w:color="auto" w:sz="4" w:space="0"/>
              <w:left w:val="single" w:color="auto" w:sz="8" w:space="0"/>
              <w:bottom w:val="single" w:color="auto" w:sz="4" w:space="0"/>
              <w:right w:val="single" w:color="auto" w:sz="4" w:space="0"/>
            </w:tcBorders>
            <w:vAlign w:val="center"/>
          </w:tcPr>
          <w:p w14:paraId="1A00126E">
            <w:pPr>
              <w:rPr>
                <w:color w:val="000000" w:themeColor="text1"/>
                <w:szCs w:val="21"/>
              </w:rPr>
            </w:pPr>
            <w:r>
              <w:rPr>
                <w:color w:val="000000" w:themeColor="text1"/>
                <w:szCs w:val="21"/>
              </w:rPr>
              <w:t>邮政编码</w:t>
            </w:r>
          </w:p>
        </w:tc>
        <w:tc>
          <w:tcPr>
            <w:tcW w:w="5461" w:type="dxa"/>
            <w:tcBorders>
              <w:top w:val="single" w:color="auto" w:sz="4" w:space="0"/>
              <w:left w:val="nil"/>
              <w:bottom w:val="single" w:color="auto" w:sz="4" w:space="0"/>
              <w:right w:val="single" w:color="auto" w:sz="4" w:space="0"/>
            </w:tcBorders>
            <w:vAlign w:val="center"/>
          </w:tcPr>
          <w:p w14:paraId="4D5809C4">
            <w:pPr>
              <w:jc w:val="center"/>
              <w:rPr>
                <w:color w:val="000000" w:themeColor="text1"/>
                <w:szCs w:val="21"/>
              </w:rPr>
            </w:pPr>
          </w:p>
        </w:tc>
      </w:tr>
      <w:tr w14:paraId="3BE9AC49">
        <w:tblPrEx>
          <w:tblCellMar>
            <w:top w:w="0" w:type="dxa"/>
            <w:left w:w="108" w:type="dxa"/>
            <w:bottom w:w="0" w:type="dxa"/>
            <w:right w:w="108" w:type="dxa"/>
          </w:tblCellMar>
        </w:tblPrEx>
        <w:trPr>
          <w:trHeight w:val="785" w:hRule="atLeast"/>
          <w:jc w:val="center"/>
        </w:trPr>
        <w:tc>
          <w:tcPr>
            <w:tcW w:w="3379" w:type="dxa"/>
            <w:gridSpan w:val="2"/>
            <w:tcBorders>
              <w:top w:val="single" w:color="auto" w:sz="4" w:space="0"/>
              <w:left w:val="single" w:color="auto" w:sz="8" w:space="0"/>
              <w:bottom w:val="single" w:color="auto" w:sz="4" w:space="0"/>
              <w:right w:val="single" w:color="auto" w:sz="4" w:space="0"/>
            </w:tcBorders>
            <w:vAlign w:val="center"/>
          </w:tcPr>
          <w:p w14:paraId="0D00EEC8">
            <w:pPr>
              <w:rPr>
                <w:color w:val="000000" w:themeColor="text1"/>
                <w:szCs w:val="21"/>
              </w:rPr>
            </w:pPr>
            <w:r>
              <w:rPr>
                <w:color w:val="000000" w:themeColor="text1"/>
                <w:szCs w:val="21"/>
              </w:rPr>
              <w:t>联系人</w:t>
            </w:r>
          </w:p>
        </w:tc>
        <w:tc>
          <w:tcPr>
            <w:tcW w:w="5461" w:type="dxa"/>
            <w:tcBorders>
              <w:top w:val="single" w:color="auto" w:sz="4" w:space="0"/>
              <w:left w:val="nil"/>
              <w:bottom w:val="single" w:color="auto" w:sz="4" w:space="0"/>
              <w:right w:val="single" w:color="auto" w:sz="4" w:space="0"/>
            </w:tcBorders>
            <w:vAlign w:val="center"/>
          </w:tcPr>
          <w:p w14:paraId="0BE4985A">
            <w:pPr>
              <w:jc w:val="center"/>
              <w:rPr>
                <w:color w:val="000000" w:themeColor="text1"/>
                <w:szCs w:val="21"/>
              </w:rPr>
            </w:pPr>
          </w:p>
        </w:tc>
      </w:tr>
      <w:tr w14:paraId="100270A9">
        <w:tblPrEx>
          <w:tblCellMar>
            <w:top w:w="0" w:type="dxa"/>
            <w:left w:w="108" w:type="dxa"/>
            <w:bottom w:w="0" w:type="dxa"/>
            <w:right w:w="108" w:type="dxa"/>
          </w:tblCellMar>
        </w:tblPrEx>
        <w:trPr>
          <w:trHeight w:val="766" w:hRule="atLeast"/>
          <w:jc w:val="center"/>
        </w:trPr>
        <w:tc>
          <w:tcPr>
            <w:tcW w:w="3379" w:type="dxa"/>
            <w:gridSpan w:val="2"/>
            <w:tcBorders>
              <w:top w:val="single" w:color="auto" w:sz="4" w:space="0"/>
              <w:left w:val="single" w:color="auto" w:sz="8" w:space="0"/>
              <w:bottom w:val="single" w:color="auto" w:sz="8" w:space="0"/>
              <w:right w:val="single" w:color="auto" w:sz="4" w:space="0"/>
            </w:tcBorders>
            <w:vAlign w:val="center"/>
          </w:tcPr>
          <w:p w14:paraId="1CC65AA9">
            <w:pPr>
              <w:rPr>
                <w:color w:val="000000" w:themeColor="text1"/>
                <w:szCs w:val="21"/>
              </w:rPr>
            </w:pPr>
            <w:r>
              <w:rPr>
                <w:color w:val="000000" w:themeColor="text1"/>
                <w:szCs w:val="21"/>
              </w:rPr>
              <w:t>电话</w:t>
            </w:r>
          </w:p>
        </w:tc>
        <w:tc>
          <w:tcPr>
            <w:tcW w:w="5461" w:type="dxa"/>
            <w:tcBorders>
              <w:top w:val="single" w:color="auto" w:sz="4" w:space="0"/>
              <w:left w:val="nil"/>
              <w:bottom w:val="single" w:color="auto" w:sz="8" w:space="0"/>
              <w:right w:val="single" w:color="auto" w:sz="4" w:space="0"/>
            </w:tcBorders>
            <w:vAlign w:val="center"/>
          </w:tcPr>
          <w:p w14:paraId="4EECF804">
            <w:pPr>
              <w:jc w:val="center"/>
              <w:rPr>
                <w:color w:val="000000" w:themeColor="text1"/>
                <w:szCs w:val="21"/>
              </w:rPr>
            </w:pPr>
          </w:p>
        </w:tc>
      </w:tr>
    </w:tbl>
    <w:p w14:paraId="08E57D9B">
      <w:pPr>
        <w:tabs>
          <w:tab w:val="left" w:pos="955"/>
          <w:tab w:val="left" w:pos="1907"/>
          <w:tab w:val="left" w:pos="3244"/>
          <w:tab w:val="left" w:pos="3480"/>
          <w:tab w:val="left" w:pos="3792"/>
          <w:tab w:val="left" w:pos="6134"/>
          <w:tab w:val="left" w:pos="8877"/>
        </w:tabs>
        <w:wordWrap w:val="0"/>
        <w:spacing w:line="360" w:lineRule="auto"/>
        <w:ind w:right="630"/>
        <w:jc w:val="right"/>
        <w:rPr>
          <w:color w:val="000000" w:themeColor="text1"/>
          <w:szCs w:val="21"/>
        </w:rPr>
      </w:pPr>
      <w:r>
        <w:rPr>
          <w:color w:val="000000" w:themeColor="text1"/>
          <w:szCs w:val="21"/>
        </w:rPr>
        <w:t>年月日</w:t>
      </w:r>
    </w:p>
    <w:p w14:paraId="5316F08C">
      <w:pPr>
        <w:tabs>
          <w:tab w:val="left" w:pos="955"/>
          <w:tab w:val="left" w:pos="1907"/>
          <w:tab w:val="left" w:pos="3244"/>
          <w:tab w:val="left" w:pos="3480"/>
          <w:tab w:val="left" w:pos="3792"/>
          <w:tab w:val="left" w:pos="6134"/>
          <w:tab w:val="left" w:pos="8877"/>
        </w:tabs>
        <w:spacing w:line="360" w:lineRule="auto"/>
        <w:ind w:firstLine="480" w:firstLineChars="200"/>
        <w:rPr>
          <w:color w:val="000000" w:themeColor="text1"/>
          <w:szCs w:val="21"/>
        </w:rPr>
      </w:pPr>
      <w:r>
        <w:rPr>
          <w:color w:val="000000" w:themeColor="text1"/>
          <w:szCs w:val="21"/>
        </w:rPr>
        <w:t>注：此表不作为报价文件组成部分，仅用于办理保证金退还手续。请在递交报价文件时将此表单独提交（无需密封）</w:t>
      </w:r>
    </w:p>
    <w:p w14:paraId="75566B1E">
      <w:pPr>
        <w:pStyle w:val="13"/>
        <w:spacing w:line="360" w:lineRule="auto"/>
        <w:ind w:firstLine="0"/>
        <w:rPr>
          <w:rFonts w:eastAsia="黑体"/>
          <w:color w:val="000000" w:themeColor="text1"/>
          <w:sz w:val="30"/>
        </w:rPr>
      </w:pPr>
    </w:p>
    <w:p w14:paraId="31B9B3C5">
      <w:pPr>
        <w:pStyle w:val="126"/>
        <w:spacing w:before="0" w:after="0" w:line="360" w:lineRule="auto"/>
        <w:outlineLvl w:val="0"/>
        <w:rPr>
          <w:rFonts w:ascii="Times New Roman"/>
          <w:color w:val="000000" w:themeColor="text1"/>
        </w:rPr>
      </w:pPr>
      <w:bookmarkStart w:id="1274" w:name="_Toc377495895"/>
      <w:bookmarkStart w:id="1275" w:name="_Toc17473491"/>
      <w:bookmarkStart w:id="1276" w:name="_Toc60663777"/>
      <w:bookmarkStart w:id="1277" w:name="_Toc28688"/>
      <w:bookmarkStart w:id="1278" w:name="_Toc433187955"/>
      <w:bookmarkStart w:id="1279" w:name="_Toc77318628"/>
      <w:bookmarkStart w:id="1280" w:name="_Toc47513043"/>
      <w:bookmarkStart w:id="1281" w:name="_Toc496099049"/>
      <w:bookmarkStart w:id="1282" w:name="_Toc422249729"/>
      <w:r>
        <w:rPr>
          <w:rFonts w:ascii="Times New Roman"/>
          <w:color w:val="000000" w:themeColor="text1"/>
        </w:rPr>
        <w:t>格式5  竞商人资格声明</w:t>
      </w:r>
      <w:bookmarkEnd w:id="1274"/>
      <w:bookmarkEnd w:id="1275"/>
      <w:bookmarkEnd w:id="1276"/>
      <w:bookmarkEnd w:id="1277"/>
      <w:bookmarkEnd w:id="1278"/>
      <w:bookmarkEnd w:id="1279"/>
      <w:bookmarkEnd w:id="1280"/>
      <w:bookmarkEnd w:id="1281"/>
      <w:bookmarkEnd w:id="1282"/>
    </w:p>
    <w:p w14:paraId="190C807D">
      <w:pPr>
        <w:pStyle w:val="2"/>
        <w:numPr>
          <w:ilvl w:val="0"/>
          <w:numId w:val="0"/>
        </w:numPr>
        <w:spacing w:before="0" w:after="0" w:line="360" w:lineRule="auto"/>
        <w:rPr>
          <w:rFonts w:ascii="Times New Roman"/>
          <w:color w:val="000000" w:themeColor="text1"/>
        </w:rPr>
      </w:pPr>
      <w:bookmarkStart w:id="1283" w:name="_Toc3652"/>
      <w:bookmarkStart w:id="1284" w:name="_Toc60663778"/>
      <w:bookmarkStart w:id="1285" w:name="_Toc357267824"/>
      <w:bookmarkStart w:id="1286" w:name="_Toc496099050"/>
      <w:bookmarkStart w:id="1287" w:name="_Toc357809987"/>
      <w:bookmarkStart w:id="1288" w:name="_Toc47513044"/>
      <w:bookmarkStart w:id="1289" w:name="_Toc359963696"/>
      <w:bookmarkStart w:id="1290" w:name="_Toc422249730"/>
      <w:bookmarkStart w:id="1291" w:name="_Toc17473492"/>
      <w:bookmarkStart w:id="1292" w:name="_Toc359490634"/>
      <w:bookmarkStart w:id="1293" w:name="_Toc433187956"/>
      <w:bookmarkStart w:id="1294" w:name="_Toc377584576"/>
      <w:bookmarkStart w:id="1295" w:name="_Toc357265566"/>
      <w:bookmarkStart w:id="1296" w:name="_Toc377495758"/>
      <w:bookmarkStart w:id="1297" w:name="_Toc359963786"/>
      <w:bookmarkStart w:id="1298" w:name="_Toc378448856"/>
      <w:bookmarkStart w:id="1299" w:name="_Toc377495896"/>
      <w:bookmarkStart w:id="1300" w:name="_Toc360233201"/>
      <w:bookmarkStart w:id="1301" w:name="_Toc397500202"/>
      <w:bookmarkStart w:id="1302" w:name="_Toc77318629"/>
      <w:r>
        <w:rPr>
          <w:rFonts w:ascii="Times New Roman"/>
          <w:color w:val="000000" w:themeColor="text1"/>
        </w:rPr>
        <w:t>竞商人名称：</w:t>
      </w:r>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r>
        <w:rPr>
          <w:rFonts w:ascii="Times New Roman"/>
          <w:color w:val="000000" w:themeColor="text1"/>
          <w:u w:val="single"/>
        </w:rPr>
        <w:tab/>
      </w:r>
      <w:r>
        <w:rPr>
          <w:rFonts w:ascii="Times New Roman"/>
          <w:color w:val="000000" w:themeColor="text1"/>
          <w:u w:val="single"/>
        </w:rPr>
        <w:tab/>
      </w:r>
    </w:p>
    <w:p w14:paraId="38FF30E9">
      <w:pPr>
        <w:pStyle w:val="2"/>
        <w:numPr>
          <w:ilvl w:val="0"/>
          <w:numId w:val="13"/>
        </w:numPr>
        <w:spacing w:before="0" w:after="0" w:line="360" w:lineRule="auto"/>
        <w:rPr>
          <w:rFonts w:ascii="Times New Roman"/>
          <w:color w:val="000000" w:themeColor="text1"/>
        </w:rPr>
      </w:pPr>
      <w:bookmarkStart w:id="1303" w:name="_Toc377495897"/>
      <w:bookmarkStart w:id="1304" w:name="_Toc377584577"/>
      <w:bookmarkStart w:id="1305" w:name="_Toc377495759"/>
      <w:bookmarkStart w:id="1306" w:name="_Toc17473493"/>
      <w:bookmarkStart w:id="1307" w:name="_Toc360233203"/>
      <w:bookmarkStart w:id="1308" w:name="_Toc25730"/>
      <w:bookmarkStart w:id="1309" w:name="_Toc359963698"/>
      <w:bookmarkStart w:id="1310" w:name="_Toc357265568"/>
      <w:bookmarkStart w:id="1311" w:name="_Toc422249731"/>
      <w:bookmarkStart w:id="1312" w:name="_Toc47513045"/>
      <w:bookmarkStart w:id="1313" w:name="_Toc397500203"/>
      <w:bookmarkStart w:id="1314" w:name="_Toc433187957"/>
      <w:bookmarkStart w:id="1315" w:name="_Toc378448857"/>
      <w:bookmarkStart w:id="1316" w:name="_Toc357809989"/>
      <w:bookmarkStart w:id="1317" w:name="_Toc359963788"/>
      <w:bookmarkStart w:id="1318" w:name="_Toc357267826"/>
      <w:bookmarkStart w:id="1319" w:name="_Toc77318630"/>
      <w:bookmarkStart w:id="1320" w:name="_Toc60663779"/>
      <w:bookmarkStart w:id="1321" w:name="_Toc496099051"/>
      <w:bookmarkStart w:id="1322" w:name="_Toc359490636"/>
      <w:r>
        <w:rPr>
          <w:rFonts w:ascii="Times New Roman"/>
          <w:color w:val="000000" w:themeColor="text1"/>
        </w:rPr>
        <w:t>企业基本情况及财务情况</w:t>
      </w:r>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p>
    <w:p w14:paraId="729ADB9D">
      <w:pPr>
        <w:pStyle w:val="8"/>
        <w:numPr>
          <w:ilvl w:val="0"/>
          <w:numId w:val="20"/>
        </w:numPr>
        <w:tabs>
          <w:tab w:val="left" w:pos="1134"/>
        </w:tabs>
        <w:spacing w:line="360" w:lineRule="auto"/>
        <w:rPr>
          <w:color w:val="000000" w:themeColor="text1"/>
        </w:rPr>
      </w:pPr>
      <w:r>
        <w:rPr>
          <w:color w:val="000000" w:themeColor="text1"/>
        </w:rPr>
        <w:t>竞商人名称：</w:t>
      </w:r>
      <w:r>
        <w:rPr>
          <w:color w:val="000000" w:themeColor="text1"/>
          <w:u w:val="single"/>
        </w:rPr>
        <w:tab/>
      </w:r>
      <w:r>
        <w:rPr>
          <w:color w:val="000000" w:themeColor="text1"/>
          <w:u w:val="single"/>
        </w:rPr>
        <w:tab/>
      </w:r>
    </w:p>
    <w:p w14:paraId="6695A383">
      <w:pPr>
        <w:pStyle w:val="8"/>
        <w:numPr>
          <w:ilvl w:val="0"/>
          <w:numId w:val="20"/>
        </w:numPr>
        <w:tabs>
          <w:tab w:val="left" w:pos="1134"/>
        </w:tabs>
        <w:spacing w:line="360" w:lineRule="auto"/>
        <w:rPr>
          <w:color w:val="000000" w:themeColor="text1"/>
        </w:rPr>
      </w:pPr>
      <w:r>
        <w:rPr>
          <w:color w:val="000000" w:themeColor="text1"/>
        </w:rPr>
        <w:t>地址：</w:t>
      </w:r>
      <w:r>
        <w:rPr>
          <w:color w:val="000000" w:themeColor="text1"/>
          <w:u w:val="single"/>
        </w:rPr>
        <w:tab/>
      </w:r>
      <w:r>
        <w:rPr>
          <w:color w:val="000000" w:themeColor="text1"/>
          <w:u w:val="single"/>
        </w:rPr>
        <w:tab/>
      </w:r>
    </w:p>
    <w:p w14:paraId="140D1A43">
      <w:pPr>
        <w:pStyle w:val="8"/>
        <w:numPr>
          <w:ilvl w:val="0"/>
          <w:numId w:val="20"/>
        </w:numPr>
        <w:tabs>
          <w:tab w:val="left" w:pos="1134"/>
        </w:tabs>
        <w:spacing w:line="360" w:lineRule="auto"/>
        <w:rPr>
          <w:color w:val="000000" w:themeColor="text1"/>
        </w:rPr>
      </w:pPr>
      <w:r>
        <w:rPr>
          <w:color w:val="000000" w:themeColor="text1"/>
        </w:rPr>
        <w:t>注册日期：</w:t>
      </w:r>
      <w:r>
        <w:rPr>
          <w:color w:val="000000" w:themeColor="text1"/>
        </w:rPr>
        <w:tab/>
      </w:r>
      <w:r>
        <w:rPr>
          <w:color w:val="000000" w:themeColor="text1"/>
          <w:u w:val="single"/>
        </w:rPr>
        <w:tab/>
      </w:r>
      <w:r>
        <w:rPr>
          <w:color w:val="000000" w:themeColor="text1"/>
          <w:u w:val="single"/>
        </w:rPr>
        <w:tab/>
      </w:r>
    </w:p>
    <w:p w14:paraId="33D85680">
      <w:pPr>
        <w:pStyle w:val="8"/>
        <w:numPr>
          <w:ilvl w:val="0"/>
          <w:numId w:val="20"/>
        </w:numPr>
        <w:tabs>
          <w:tab w:val="left" w:pos="1134"/>
        </w:tabs>
        <w:spacing w:line="360" w:lineRule="auto"/>
        <w:rPr>
          <w:color w:val="000000" w:themeColor="text1"/>
          <w:u w:val="single"/>
        </w:rPr>
      </w:pPr>
      <w:r>
        <w:rPr>
          <w:color w:val="000000" w:themeColor="text1"/>
        </w:rPr>
        <w:t>注册资本：</w:t>
      </w:r>
      <w:r>
        <w:rPr>
          <w:color w:val="000000" w:themeColor="text1"/>
          <w:u w:val="single"/>
        </w:rPr>
        <w:tab/>
      </w:r>
      <w:r>
        <w:rPr>
          <w:color w:val="000000" w:themeColor="text1"/>
          <w:u w:val="single"/>
        </w:rPr>
        <w:tab/>
      </w:r>
    </w:p>
    <w:p w14:paraId="277EA29D">
      <w:pPr>
        <w:pStyle w:val="2"/>
        <w:numPr>
          <w:ilvl w:val="0"/>
          <w:numId w:val="13"/>
        </w:numPr>
        <w:spacing w:before="0" w:after="0" w:line="360" w:lineRule="auto"/>
        <w:rPr>
          <w:rFonts w:ascii="Times New Roman"/>
          <w:color w:val="000000" w:themeColor="text1"/>
        </w:rPr>
      </w:pPr>
      <w:bookmarkStart w:id="1323" w:name="_Toc433187958"/>
      <w:bookmarkEnd w:id="1323"/>
      <w:bookmarkStart w:id="1324" w:name="_Toc496099052"/>
      <w:bookmarkStart w:id="1325" w:name="_Toc377584578"/>
      <w:bookmarkStart w:id="1326" w:name="_Toc433187959"/>
      <w:bookmarkStart w:id="1327" w:name="_Toc377495898"/>
      <w:bookmarkStart w:id="1328" w:name="_Toc2790"/>
      <w:bookmarkStart w:id="1329" w:name="_Toc47513046"/>
      <w:bookmarkStart w:id="1330" w:name="_Toc377495760"/>
      <w:bookmarkStart w:id="1331" w:name="_Toc422249732"/>
      <w:bookmarkStart w:id="1332" w:name="_Toc17473494"/>
      <w:bookmarkStart w:id="1333" w:name="_Toc60663780"/>
      <w:bookmarkStart w:id="1334" w:name="_Toc378448858"/>
      <w:bookmarkStart w:id="1335" w:name="_Toc397500204"/>
      <w:bookmarkStart w:id="1336" w:name="_Toc77318631"/>
      <w:r>
        <w:rPr>
          <w:rFonts w:ascii="Times New Roman"/>
          <w:color w:val="000000" w:themeColor="text1"/>
        </w:rPr>
        <w:t>相关经营经验</w:t>
      </w:r>
      <w:bookmarkEnd w:id="1324"/>
      <w:bookmarkEnd w:id="1325"/>
      <w:bookmarkEnd w:id="1326"/>
      <w:bookmarkEnd w:id="1327"/>
      <w:bookmarkEnd w:id="1328"/>
      <w:bookmarkEnd w:id="1329"/>
      <w:bookmarkEnd w:id="1330"/>
      <w:bookmarkEnd w:id="1331"/>
      <w:bookmarkEnd w:id="1332"/>
      <w:bookmarkEnd w:id="1333"/>
      <w:bookmarkEnd w:id="1334"/>
      <w:bookmarkEnd w:id="1335"/>
      <w:bookmarkEnd w:id="1336"/>
    </w:p>
    <w:p w14:paraId="7B1FD54A">
      <w:pPr>
        <w:pStyle w:val="2"/>
        <w:numPr>
          <w:ilvl w:val="1"/>
          <w:numId w:val="13"/>
        </w:numPr>
        <w:spacing w:before="0" w:after="0" w:line="360" w:lineRule="auto"/>
        <w:ind w:left="-240" w:leftChars="0" w:firstLineChars="0"/>
        <w:rPr>
          <w:rFonts w:ascii="Times New Roman"/>
          <w:color w:val="000000" w:themeColor="text1"/>
        </w:rPr>
      </w:pPr>
      <w:bookmarkStart w:id="1337" w:name="_Toc496099053"/>
      <w:bookmarkStart w:id="1338" w:name="_Toc77318632"/>
      <w:bookmarkStart w:id="1339" w:name="_Toc422249733"/>
      <w:bookmarkStart w:id="1340" w:name="_Toc10576"/>
      <w:bookmarkStart w:id="1341" w:name="_Toc397500205"/>
      <w:bookmarkStart w:id="1342" w:name="_Toc47513047"/>
      <w:bookmarkStart w:id="1343" w:name="_Toc433187960"/>
      <w:bookmarkStart w:id="1344" w:name="_Toc17473495"/>
      <w:bookmarkStart w:id="1345" w:name="_Toc378448859"/>
      <w:bookmarkStart w:id="1346" w:name="_Toc60663781"/>
      <w:r>
        <w:rPr>
          <w:rFonts w:hint="eastAsia" w:ascii="Times New Roman"/>
          <w:color w:val="000000" w:themeColor="text1"/>
        </w:rPr>
        <w:t>商业VIP厅、商旅中心</w:t>
      </w:r>
      <w:r>
        <w:rPr>
          <w:rFonts w:ascii="Times New Roman"/>
          <w:color w:val="000000" w:themeColor="text1"/>
        </w:rPr>
        <w:t>合作经验</w:t>
      </w:r>
      <w:bookmarkEnd w:id="1337"/>
      <w:bookmarkEnd w:id="1338"/>
      <w:bookmarkEnd w:id="1339"/>
      <w:bookmarkEnd w:id="1340"/>
      <w:bookmarkEnd w:id="1341"/>
      <w:bookmarkEnd w:id="1342"/>
      <w:bookmarkEnd w:id="1343"/>
      <w:bookmarkEnd w:id="1344"/>
      <w:bookmarkEnd w:id="1345"/>
      <w:bookmarkEnd w:id="1346"/>
    </w:p>
    <w:tbl>
      <w:tblPr>
        <w:tblStyle w:val="52"/>
        <w:tblW w:w="67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3"/>
        <w:gridCol w:w="2117"/>
        <w:gridCol w:w="2126"/>
        <w:gridCol w:w="1629"/>
      </w:tblGrid>
      <w:tr w14:paraId="48C27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tcPr>
          <w:p w14:paraId="77E40FFB">
            <w:pPr>
              <w:pStyle w:val="13"/>
              <w:widowControl w:val="0"/>
              <w:adjustRightInd w:val="0"/>
              <w:spacing w:line="360" w:lineRule="auto"/>
              <w:ind w:firstLine="0"/>
              <w:jc w:val="center"/>
              <w:textAlignment w:val="baseline"/>
              <w:rPr>
                <w:color w:val="000000" w:themeColor="text1"/>
                <w:szCs w:val="24"/>
              </w:rPr>
            </w:pPr>
            <w:r>
              <w:rPr>
                <w:color w:val="000000" w:themeColor="text1"/>
                <w:szCs w:val="24"/>
              </w:rPr>
              <w:t>序号</w:t>
            </w:r>
          </w:p>
        </w:tc>
        <w:tc>
          <w:tcPr>
            <w:tcW w:w="2117" w:type="dxa"/>
          </w:tcPr>
          <w:p w14:paraId="54110080">
            <w:pPr>
              <w:pStyle w:val="13"/>
              <w:widowControl w:val="0"/>
              <w:adjustRightInd w:val="0"/>
              <w:spacing w:line="360" w:lineRule="auto"/>
              <w:ind w:firstLine="0"/>
              <w:jc w:val="center"/>
              <w:textAlignment w:val="baseline"/>
              <w:rPr>
                <w:color w:val="000000" w:themeColor="text1"/>
                <w:szCs w:val="24"/>
              </w:rPr>
            </w:pPr>
            <w:r>
              <w:rPr>
                <w:color w:val="000000" w:themeColor="text1"/>
                <w:szCs w:val="24"/>
              </w:rPr>
              <w:t>经营场地名称</w:t>
            </w:r>
          </w:p>
        </w:tc>
        <w:tc>
          <w:tcPr>
            <w:tcW w:w="2126" w:type="dxa"/>
          </w:tcPr>
          <w:p w14:paraId="0CCF462C">
            <w:pPr>
              <w:pStyle w:val="13"/>
              <w:widowControl w:val="0"/>
              <w:adjustRightInd w:val="0"/>
              <w:spacing w:line="360" w:lineRule="auto"/>
              <w:ind w:firstLine="0"/>
              <w:jc w:val="center"/>
              <w:textAlignment w:val="baseline"/>
              <w:rPr>
                <w:color w:val="000000" w:themeColor="text1"/>
                <w:szCs w:val="24"/>
              </w:rPr>
            </w:pPr>
            <w:r>
              <w:rPr>
                <w:rFonts w:hint="eastAsia"/>
                <w:color w:val="000000" w:themeColor="text1"/>
                <w:szCs w:val="24"/>
              </w:rPr>
              <w:t>经营业态</w:t>
            </w:r>
          </w:p>
        </w:tc>
        <w:tc>
          <w:tcPr>
            <w:tcW w:w="1629" w:type="dxa"/>
          </w:tcPr>
          <w:p w14:paraId="6C0729D4">
            <w:pPr>
              <w:pStyle w:val="13"/>
              <w:widowControl w:val="0"/>
              <w:adjustRightInd w:val="0"/>
              <w:ind w:firstLine="0"/>
              <w:jc w:val="center"/>
              <w:textAlignment w:val="baseline"/>
              <w:rPr>
                <w:color w:val="000000" w:themeColor="text1"/>
                <w:szCs w:val="24"/>
              </w:rPr>
            </w:pPr>
            <w:r>
              <w:rPr>
                <w:color w:val="000000" w:themeColor="text1"/>
                <w:szCs w:val="24"/>
              </w:rPr>
              <w:t>合作期限</w:t>
            </w:r>
          </w:p>
        </w:tc>
      </w:tr>
      <w:tr w14:paraId="64AC3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Align w:val="center"/>
          </w:tcPr>
          <w:p w14:paraId="48F91FE1">
            <w:pPr>
              <w:pStyle w:val="13"/>
              <w:widowControl w:val="0"/>
              <w:adjustRightInd w:val="0"/>
              <w:spacing w:line="360" w:lineRule="auto"/>
              <w:ind w:firstLine="0"/>
              <w:jc w:val="center"/>
              <w:textAlignment w:val="baseline"/>
              <w:rPr>
                <w:color w:val="000000" w:themeColor="text1"/>
                <w:szCs w:val="24"/>
              </w:rPr>
            </w:pPr>
          </w:p>
        </w:tc>
        <w:tc>
          <w:tcPr>
            <w:tcW w:w="2117" w:type="dxa"/>
            <w:vAlign w:val="center"/>
          </w:tcPr>
          <w:p w14:paraId="4629BC93">
            <w:pPr>
              <w:pStyle w:val="13"/>
              <w:widowControl w:val="0"/>
              <w:adjustRightInd w:val="0"/>
              <w:spacing w:line="360" w:lineRule="auto"/>
              <w:ind w:firstLine="0"/>
              <w:jc w:val="center"/>
              <w:textAlignment w:val="baseline"/>
              <w:rPr>
                <w:color w:val="000000" w:themeColor="text1"/>
                <w:szCs w:val="24"/>
              </w:rPr>
            </w:pPr>
          </w:p>
        </w:tc>
        <w:tc>
          <w:tcPr>
            <w:tcW w:w="2126" w:type="dxa"/>
            <w:vAlign w:val="center"/>
          </w:tcPr>
          <w:p w14:paraId="78D73D39">
            <w:pPr>
              <w:pStyle w:val="13"/>
              <w:widowControl w:val="0"/>
              <w:adjustRightInd w:val="0"/>
              <w:spacing w:line="360" w:lineRule="auto"/>
              <w:ind w:firstLine="0"/>
              <w:jc w:val="center"/>
              <w:textAlignment w:val="baseline"/>
              <w:rPr>
                <w:color w:val="000000" w:themeColor="text1"/>
                <w:szCs w:val="24"/>
              </w:rPr>
            </w:pPr>
          </w:p>
        </w:tc>
        <w:tc>
          <w:tcPr>
            <w:tcW w:w="1629" w:type="dxa"/>
            <w:vAlign w:val="center"/>
          </w:tcPr>
          <w:p w14:paraId="33348BBC">
            <w:pPr>
              <w:pStyle w:val="13"/>
              <w:widowControl w:val="0"/>
              <w:adjustRightInd w:val="0"/>
              <w:spacing w:line="360" w:lineRule="auto"/>
              <w:ind w:firstLine="0"/>
              <w:jc w:val="center"/>
              <w:textAlignment w:val="baseline"/>
              <w:rPr>
                <w:color w:val="000000" w:themeColor="text1"/>
                <w:szCs w:val="24"/>
              </w:rPr>
            </w:pPr>
          </w:p>
        </w:tc>
      </w:tr>
      <w:tr w14:paraId="74D30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Align w:val="center"/>
          </w:tcPr>
          <w:p w14:paraId="26E174BB">
            <w:pPr>
              <w:pStyle w:val="13"/>
              <w:widowControl w:val="0"/>
              <w:adjustRightInd w:val="0"/>
              <w:spacing w:line="360" w:lineRule="auto"/>
              <w:ind w:firstLine="0"/>
              <w:jc w:val="center"/>
              <w:textAlignment w:val="baseline"/>
              <w:rPr>
                <w:color w:val="000000" w:themeColor="text1"/>
                <w:szCs w:val="24"/>
              </w:rPr>
            </w:pPr>
          </w:p>
        </w:tc>
        <w:tc>
          <w:tcPr>
            <w:tcW w:w="2117" w:type="dxa"/>
            <w:vAlign w:val="center"/>
          </w:tcPr>
          <w:p w14:paraId="64594CDD">
            <w:pPr>
              <w:pStyle w:val="13"/>
              <w:widowControl w:val="0"/>
              <w:adjustRightInd w:val="0"/>
              <w:spacing w:line="360" w:lineRule="auto"/>
              <w:ind w:firstLine="0"/>
              <w:jc w:val="center"/>
              <w:textAlignment w:val="baseline"/>
              <w:rPr>
                <w:color w:val="000000" w:themeColor="text1"/>
                <w:szCs w:val="24"/>
              </w:rPr>
            </w:pPr>
          </w:p>
        </w:tc>
        <w:tc>
          <w:tcPr>
            <w:tcW w:w="2126" w:type="dxa"/>
            <w:vAlign w:val="center"/>
          </w:tcPr>
          <w:p w14:paraId="20ECAA15">
            <w:pPr>
              <w:pStyle w:val="13"/>
              <w:widowControl w:val="0"/>
              <w:adjustRightInd w:val="0"/>
              <w:spacing w:line="360" w:lineRule="auto"/>
              <w:ind w:firstLine="0"/>
              <w:jc w:val="center"/>
              <w:textAlignment w:val="baseline"/>
              <w:rPr>
                <w:color w:val="000000" w:themeColor="text1"/>
                <w:szCs w:val="24"/>
              </w:rPr>
            </w:pPr>
          </w:p>
        </w:tc>
        <w:tc>
          <w:tcPr>
            <w:tcW w:w="1629" w:type="dxa"/>
            <w:vAlign w:val="center"/>
          </w:tcPr>
          <w:p w14:paraId="56A6EAB7">
            <w:pPr>
              <w:pStyle w:val="13"/>
              <w:widowControl w:val="0"/>
              <w:adjustRightInd w:val="0"/>
              <w:spacing w:line="360" w:lineRule="auto"/>
              <w:ind w:firstLine="0"/>
              <w:jc w:val="center"/>
              <w:textAlignment w:val="baseline"/>
              <w:rPr>
                <w:color w:val="000000" w:themeColor="text1"/>
                <w:szCs w:val="24"/>
              </w:rPr>
            </w:pPr>
          </w:p>
        </w:tc>
      </w:tr>
      <w:tr w14:paraId="29D50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Align w:val="center"/>
          </w:tcPr>
          <w:p w14:paraId="298C635B">
            <w:pPr>
              <w:pStyle w:val="13"/>
              <w:widowControl w:val="0"/>
              <w:adjustRightInd w:val="0"/>
              <w:spacing w:line="360" w:lineRule="auto"/>
              <w:ind w:firstLine="0"/>
              <w:jc w:val="center"/>
              <w:textAlignment w:val="baseline"/>
              <w:rPr>
                <w:color w:val="000000" w:themeColor="text1"/>
                <w:szCs w:val="24"/>
              </w:rPr>
            </w:pPr>
          </w:p>
        </w:tc>
        <w:tc>
          <w:tcPr>
            <w:tcW w:w="2117" w:type="dxa"/>
            <w:vAlign w:val="center"/>
          </w:tcPr>
          <w:p w14:paraId="672F095F">
            <w:pPr>
              <w:pStyle w:val="13"/>
              <w:widowControl w:val="0"/>
              <w:adjustRightInd w:val="0"/>
              <w:spacing w:line="360" w:lineRule="auto"/>
              <w:ind w:firstLine="0"/>
              <w:jc w:val="center"/>
              <w:textAlignment w:val="baseline"/>
              <w:rPr>
                <w:color w:val="000000" w:themeColor="text1"/>
                <w:szCs w:val="24"/>
              </w:rPr>
            </w:pPr>
            <w:r>
              <w:rPr>
                <w:color w:val="000000" w:themeColor="text1"/>
                <w:szCs w:val="24"/>
              </w:rPr>
              <w:t>…</w:t>
            </w:r>
          </w:p>
        </w:tc>
        <w:tc>
          <w:tcPr>
            <w:tcW w:w="2126" w:type="dxa"/>
            <w:vAlign w:val="center"/>
          </w:tcPr>
          <w:p w14:paraId="682AC1D4">
            <w:pPr>
              <w:pStyle w:val="13"/>
              <w:widowControl w:val="0"/>
              <w:adjustRightInd w:val="0"/>
              <w:spacing w:line="360" w:lineRule="auto"/>
              <w:ind w:firstLine="0"/>
              <w:jc w:val="center"/>
              <w:textAlignment w:val="baseline"/>
              <w:rPr>
                <w:color w:val="000000" w:themeColor="text1"/>
                <w:szCs w:val="24"/>
              </w:rPr>
            </w:pPr>
          </w:p>
        </w:tc>
        <w:tc>
          <w:tcPr>
            <w:tcW w:w="1629" w:type="dxa"/>
            <w:vAlign w:val="center"/>
          </w:tcPr>
          <w:p w14:paraId="7F4DE523">
            <w:pPr>
              <w:pStyle w:val="13"/>
              <w:widowControl w:val="0"/>
              <w:adjustRightInd w:val="0"/>
              <w:spacing w:line="360" w:lineRule="auto"/>
              <w:ind w:firstLine="0"/>
              <w:jc w:val="center"/>
              <w:textAlignment w:val="baseline"/>
              <w:rPr>
                <w:color w:val="000000" w:themeColor="text1"/>
                <w:szCs w:val="24"/>
              </w:rPr>
            </w:pPr>
          </w:p>
        </w:tc>
      </w:tr>
    </w:tbl>
    <w:p w14:paraId="722E8DCC">
      <w:pPr>
        <w:pStyle w:val="13"/>
        <w:spacing w:line="360" w:lineRule="auto"/>
        <w:ind w:firstLine="0"/>
        <w:jc w:val="center"/>
        <w:rPr>
          <w:color w:val="000000" w:themeColor="text1"/>
        </w:rPr>
      </w:pPr>
    </w:p>
    <w:p w14:paraId="07B698FE">
      <w:pPr>
        <w:pStyle w:val="13"/>
        <w:spacing w:line="360" w:lineRule="auto"/>
        <w:ind w:firstLine="0"/>
        <w:jc w:val="center"/>
        <w:rPr>
          <w:color w:val="000000" w:themeColor="text1"/>
        </w:rPr>
      </w:pPr>
    </w:p>
    <w:p w14:paraId="4C63D3E8">
      <w:pPr>
        <w:pStyle w:val="2"/>
        <w:numPr>
          <w:ilvl w:val="0"/>
          <w:numId w:val="13"/>
        </w:numPr>
        <w:spacing w:before="0" w:after="0" w:line="360" w:lineRule="auto"/>
        <w:rPr>
          <w:rFonts w:ascii="Times New Roman"/>
          <w:color w:val="000000" w:themeColor="text1"/>
        </w:rPr>
      </w:pPr>
      <w:bookmarkStart w:id="1347" w:name="_Toc397500207"/>
      <w:bookmarkEnd w:id="1347"/>
      <w:bookmarkStart w:id="1348" w:name="_Toc359963790"/>
      <w:bookmarkStart w:id="1349" w:name="_Toc357809991"/>
      <w:bookmarkStart w:id="1350" w:name="_Toc17473497"/>
      <w:bookmarkStart w:id="1351" w:name="_Toc397500208"/>
      <w:bookmarkStart w:id="1352" w:name="_Toc359490638"/>
      <w:bookmarkStart w:id="1353" w:name="_Toc377495761"/>
      <w:bookmarkStart w:id="1354" w:name="_Toc359963700"/>
      <w:bookmarkStart w:id="1355" w:name="_Toc422249735"/>
      <w:bookmarkStart w:id="1356" w:name="_Toc47513049"/>
      <w:bookmarkStart w:id="1357" w:name="_Toc377495899"/>
      <w:bookmarkStart w:id="1358" w:name="_Toc357267828"/>
      <w:bookmarkStart w:id="1359" w:name="_Toc496099055"/>
      <w:bookmarkStart w:id="1360" w:name="_Toc357265570"/>
      <w:bookmarkStart w:id="1361" w:name="_Toc360233205"/>
      <w:bookmarkStart w:id="1362" w:name="_Toc377584579"/>
      <w:bookmarkStart w:id="1363" w:name="_Toc433187962"/>
      <w:bookmarkStart w:id="1364" w:name="_Toc77318636"/>
      <w:bookmarkStart w:id="1365" w:name="_Toc24067"/>
      <w:bookmarkStart w:id="1366" w:name="_Toc60663783"/>
      <w:bookmarkStart w:id="1367" w:name="_Toc378448861"/>
      <w:r>
        <w:rPr>
          <w:rFonts w:ascii="Times New Roman"/>
          <w:color w:val="000000" w:themeColor="text1"/>
        </w:rPr>
        <w:t>企业财务状况</w:t>
      </w:r>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p>
    <w:p w14:paraId="77B495A8">
      <w:pPr>
        <w:pStyle w:val="13"/>
        <w:spacing w:line="360" w:lineRule="auto"/>
        <w:rPr>
          <w:color w:val="auto"/>
        </w:rPr>
      </w:pPr>
      <w:r>
        <w:rPr>
          <w:rFonts w:hint="eastAsia"/>
          <w:color w:val="auto"/>
        </w:rPr>
        <w:t>截止至</w:t>
      </w:r>
      <w:r>
        <w:rPr>
          <w:rFonts w:hint="eastAsia"/>
          <w:color w:val="auto"/>
          <w:lang w:val="en-US" w:eastAsia="zh-CN"/>
        </w:rPr>
        <w:t>2024</w:t>
      </w:r>
      <w:r>
        <w:rPr>
          <w:color w:val="auto"/>
        </w:rPr>
        <w:t>年12月31日</w:t>
      </w:r>
      <w:r>
        <w:rPr>
          <w:rFonts w:hint="eastAsia"/>
          <w:color w:val="auto"/>
        </w:rPr>
        <w:t>企业实收资本为</w:t>
      </w:r>
      <w:r>
        <w:rPr>
          <w:color w:val="auto"/>
          <w:u w:val="single"/>
        </w:rPr>
        <w:tab/>
      </w:r>
      <w:r>
        <w:rPr>
          <w:rFonts w:hint="eastAsia"/>
          <w:color w:val="auto"/>
        </w:rPr>
        <w:t>万元，详见竞商文件页审计报告。</w:t>
      </w:r>
    </w:p>
    <w:p w14:paraId="73494771">
      <w:pPr>
        <w:pStyle w:val="13"/>
        <w:spacing w:line="360" w:lineRule="auto"/>
        <w:rPr>
          <w:color w:val="auto"/>
        </w:rPr>
      </w:pPr>
      <w:bookmarkStart w:id="1368" w:name="_Toc397500209"/>
      <w:bookmarkEnd w:id="1368"/>
      <w:bookmarkStart w:id="1369" w:name="_Toc397500210"/>
      <w:bookmarkEnd w:id="1369"/>
      <w:r>
        <w:rPr>
          <w:rFonts w:hint="eastAsia"/>
          <w:color w:val="auto"/>
          <w:lang w:val="en-US" w:eastAsia="zh-CN"/>
        </w:rPr>
        <w:t>2024</w:t>
      </w:r>
      <w:r>
        <w:rPr>
          <w:rFonts w:hint="eastAsia"/>
          <w:color w:val="auto"/>
        </w:rPr>
        <w:t>年经审计的营业收入为</w:t>
      </w:r>
      <w:r>
        <w:rPr>
          <w:color w:val="auto"/>
          <w:u w:val="single"/>
        </w:rPr>
        <w:tab/>
      </w:r>
      <w:r>
        <w:rPr>
          <w:rFonts w:hint="eastAsia"/>
          <w:color w:val="auto"/>
        </w:rPr>
        <w:t>万元，</w:t>
      </w:r>
      <w:r>
        <w:rPr>
          <w:color w:val="auto"/>
        </w:rPr>
        <w:t>202</w:t>
      </w:r>
      <w:r>
        <w:rPr>
          <w:rFonts w:hint="eastAsia"/>
          <w:color w:val="auto"/>
        </w:rPr>
        <w:t>3年经审计的营业收入为</w:t>
      </w:r>
      <w:r>
        <w:rPr>
          <w:color w:val="auto"/>
          <w:u w:val="single"/>
        </w:rPr>
        <w:tab/>
      </w:r>
      <w:r>
        <w:rPr>
          <w:rFonts w:hint="eastAsia"/>
          <w:color w:val="auto"/>
        </w:rPr>
        <w:t>万元，详见竞商文件</w:t>
      </w:r>
      <w:r>
        <w:rPr>
          <w:rFonts w:hint="eastAsia"/>
          <w:color w:val="auto"/>
          <w:u w:val="single"/>
        </w:rPr>
        <w:t xml:space="preserve">  </w:t>
      </w:r>
      <w:r>
        <w:rPr>
          <w:rFonts w:hint="eastAsia"/>
          <w:color w:val="auto"/>
        </w:rPr>
        <w:t>页审计报告。</w:t>
      </w:r>
    </w:p>
    <w:p w14:paraId="5BAAB1BD">
      <w:pPr>
        <w:pStyle w:val="13"/>
        <w:spacing w:line="360" w:lineRule="auto"/>
        <w:ind w:left="120" w:leftChars="50" w:firstLine="360" w:firstLineChars="150"/>
        <w:rPr>
          <w:color w:val="auto"/>
        </w:rPr>
      </w:pPr>
      <w:r>
        <w:rPr>
          <w:rFonts w:hint="eastAsia"/>
          <w:color w:val="auto"/>
        </w:rPr>
        <w:t>截止至</w:t>
      </w:r>
      <w:r>
        <w:rPr>
          <w:rFonts w:hint="eastAsia"/>
          <w:color w:val="auto"/>
          <w:lang w:val="en-US" w:eastAsia="zh-CN"/>
        </w:rPr>
        <w:t>2024</w:t>
      </w:r>
      <w:r>
        <w:rPr>
          <w:color w:val="auto"/>
        </w:rPr>
        <w:t>年12月31日</w:t>
      </w:r>
      <w:r>
        <w:rPr>
          <w:rFonts w:hint="eastAsia"/>
          <w:color w:val="auto"/>
        </w:rPr>
        <w:t>的流动资产为</w:t>
      </w:r>
      <w:r>
        <w:rPr>
          <w:color w:val="auto"/>
          <w:u w:val="single"/>
        </w:rPr>
        <w:tab/>
      </w:r>
      <w:r>
        <w:rPr>
          <w:rFonts w:hint="eastAsia"/>
          <w:color w:val="auto"/>
        </w:rPr>
        <w:t>万元，流动负债为</w:t>
      </w:r>
      <w:r>
        <w:rPr>
          <w:color w:val="auto"/>
          <w:u w:val="single"/>
        </w:rPr>
        <w:tab/>
      </w:r>
      <w:r>
        <w:rPr>
          <w:rFonts w:hint="eastAsia"/>
          <w:color w:val="auto"/>
        </w:rPr>
        <w:t>万元，详见竞商文件</w:t>
      </w:r>
      <w:r>
        <w:rPr>
          <w:rFonts w:hint="eastAsia"/>
          <w:color w:val="auto"/>
          <w:u w:val="single"/>
        </w:rPr>
        <w:t xml:space="preserve"> </w:t>
      </w:r>
      <w:r>
        <w:rPr>
          <w:rFonts w:hint="eastAsia"/>
          <w:color w:val="auto"/>
        </w:rPr>
        <w:t>页审计报告。</w:t>
      </w:r>
    </w:p>
    <w:p w14:paraId="22E2D202">
      <w:pPr>
        <w:pStyle w:val="13"/>
        <w:spacing w:line="360" w:lineRule="auto"/>
        <w:rPr>
          <w:color w:val="auto"/>
        </w:rPr>
      </w:pPr>
      <w:r>
        <w:rPr>
          <w:rFonts w:hint="eastAsia"/>
          <w:color w:val="auto"/>
        </w:rPr>
        <w:t>截止至</w:t>
      </w:r>
      <w:r>
        <w:rPr>
          <w:rFonts w:hint="eastAsia"/>
          <w:color w:val="auto"/>
          <w:lang w:val="en-US" w:eastAsia="zh-CN"/>
        </w:rPr>
        <w:t>2024</w:t>
      </w:r>
      <w:r>
        <w:rPr>
          <w:color w:val="auto"/>
        </w:rPr>
        <w:t>年12月31日</w:t>
      </w:r>
      <w:r>
        <w:rPr>
          <w:rFonts w:hint="eastAsia"/>
          <w:color w:val="auto"/>
        </w:rPr>
        <w:t>的货币资金为</w:t>
      </w:r>
      <w:r>
        <w:rPr>
          <w:color w:val="auto"/>
          <w:u w:val="single"/>
        </w:rPr>
        <w:tab/>
      </w:r>
      <w:r>
        <w:rPr>
          <w:rFonts w:hint="eastAsia"/>
          <w:color w:val="auto"/>
        </w:rPr>
        <w:t>万元，流动负债为</w:t>
      </w:r>
      <w:r>
        <w:rPr>
          <w:color w:val="auto"/>
          <w:u w:val="single"/>
        </w:rPr>
        <w:tab/>
      </w:r>
      <w:r>
        <w:rPr>
          <w:rFonts w:hint="eastAsia"/>
          <w:color w:val="auto"/>
        </w:rPr>
        <w:t>万元，详见竞商文件页审计报告。</w:t>
      </w:r>
    </w:p>
    <w:p w14:paraId="3A824E1A">
      <w:pPr>
        <w:pStyle w:val="13"/>
        <w:spacing w:line="360" w:lineRule="auto"/>
        <w:rPr>
          <w:color w:val="000000" w:themeColor="text1"/>
        </w:rPr>
      </w:pPr>
    </w:p>
    <w:p w14:paraId="27F34BD9">
      <w:pPr>
        <w:pStyle w:val="2"/>
        <w:numPr>
          <w:ilvl w:val="0"/>
          <w:numId w:val="13"/>
        </w:numPr>
        <w:spacing w:before="0" w:after="0" w:line="360" w:lineRule="auto"/>
        <w:rPr>
          <w:rFonts w:ascii="Times New Roman"/>
          <w:color w:val="000000" w:themeColor="text1"/>
        </w:rPr>
      </w:pPr>
      <w:bookmarkStart w:id="1370" w:name="_Toc60663784"/>
      <w:bookmarkStart w:id="1371" w:name="_Toc433187964"/>
      <w:bookmarkStart w:id="1372" w:name="_Toc377584581"/>
      <w:bookmarkStart w:id="1373" w:name="_Toc357809995"/>
      <w:bookmarkStart w:id="1374" w:name="_Toc377495901"/>
      <w:bookmarkStart w:id="1375" w:name="_Toc422249737"/>
      <w:bookmarkStart w:id="1376" w:name="_Toc359490642"/>
      <w:bookmarkStart w:id="1377" w:name="_Toc357265574"/>
      <w:bookmarkStart w:id="1378" w:name="_Toc360233209"/>
      <w:bookmarkStart w:id="1379" w:name="_Toc496099056"/>
      <w:bookmarkStart w:id="1380" w:name="_Toc357267832"/>
      <w:bookmarkStart w:id="1381" w:name="_Toc17473498"/>
      <w:bookmarkStart w:id="1382" w:name="_Toc47513050"/>
      <w:bookmarkStart w:id="1383" w:name="_Toc77318637"/>
      <w:bookmarkStart w:id="1384" w:name="_Toc397500212"/>
      <w:bookmarkStart w:id="1385" w:name="_Toc359963704"/>
      <w:bookmarkStart w:id="1386" w:name="_Toc26858"/>
      <w:bookmarkStart w:id="1387" w:name="_Toc377495763"/>
      <w:bookmarkStart w:id="1388" w:name="_Toc378448863"/>
      <w:bookmarkStart w:id="1389" w:name="_Toc359963794"/>
      <w:r>
        <w:rPr>
          <w:rFonts w:ascii="Times New Roman"/>
          <w:color w:val="000000" w:themeColor="text1"/>
        </w:rPr>
        <w:t>授权声明：</w:t>
      </w:r>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p>
    <w:p w14:paraId="20EE6AD1">
      <w:pPr>
        <w:pStyle w:val="13"/>
        <w:spacing w:line="360" w:lineRule="auto"/>
        <w:rPr>
          <w:color w:val="000000" w:themeColor="text1"/>
        </w:rPr>
      </w:pPr>
      <w:r>
        <w:rPr>
          <w:color w:val="000000" w:themeColor="text1"/>
        </w:rPr>
        <w:t>我(们)在此保证本竞商文件所列资料及所附证明材料的真实性，并授权____________(先生/女士)代表我(们)公司。陈述和解释一切有关技术和财务以及法律事宜。</w:t>
      </w:r>
    </w:p>
    <w:p w14:paraId="2718A674">
      <w:pPr>
        <w:pStyle w:val="13"/>
        <w:spacing w:line="360" w:lineRule="auto"/>
        <w:rPr>
          <w:color w:val="000000" w:themeColor="text1"/>
        </w:rPr>
      </w:pPr>
      <w:r>
        <w:rPr>
          <w:color w:val="000000" w:themeColor="text1"/>
        </w:rPr>
        <w:t>授权人：被授权人：</w:t>
      </w:r>
    </w:p>
    <w:p w14:paraId="78B429E5">
      <w:pPr>
        <w:pStyle w:val="13"/>
        <w:spacing w:line="360" w:lineRule="auto"/>
        <w:rPr>
          <w:color w:val="000000" w:themeColor="text1"/>
        </w:rPr>
      </w:pPr>
      <w:r>
        <w:rPr>
          <w:color w:val="000000" w:themeColor="text1"/>
        </w:rPr>
        <w:t>签字：签字：</w:t>
      </w:r>
    </w:p>
    <w:p w14:paraId="21ED4972">
      <w:pPr>
        <w:pStyle w:val="13"/>
        <w:spacing w:line="360" w:lineRule="auto"/>
        <w:rPr>
          <w:color w:val="000000" w:themeColor="text1"/>
        </w:rPr>
      </w:pPr>
      <w:r>
        <w:rPr>
          <w:color w:val="000000" w:themeColor="text1"/>
        </w:rPr>
        <w:t>职务：职务：</w:t>
      </w:r>
    </w:p>
    <w:p w14:paraId="362C39CC">
      <w:pPr>
        <w:pStyle w:val="13"/>
        <w:spacing w:line="360" w:lineRule="auto"/>
        <w:rPr>
          <w:color w:val="000000" w:themeColor="text1"/>
        </w:rPr>
      </w:pPr>
      <w:r>
        <w:rPr>
          <w:color w:val="000000" w:themeColor="text1"/>
        </w:rPr>
        <w:t>兹证明上述声明是真实、正确的，并提供了全部能提供的资料和数据，我们随本声明附上有关证明文件的复印件。</w:t>
      </w:r>
    </w:p>
    <w:p w14:paraId="3B775537">
      <w:pPr>
        <w:pStyle w:val="13"/>
        <w:spacing w:line="360" w:lineRule="auto"/>
        <w:ind w:firstLine="4220"/>
        <w:rPr>
          <w:color w:val="000000" w:themeColor="text1"/>
        </w:rPr>
      </w:pPr>
      <w:r>
        <w:rPr>
          <w:color w:val="000000" w:themeColor="text1"/>
        </w:rPr>
        <w:t>日期：年月日</w:t>
      </w:r>
    </w:p>
    <w:p w14:paraId="24291B8E">
      <w:pPr>
        <w:pStyle w:val="13"/>
        <w:spacing w:line="360" w:lineRule="auto"/>
        <w:ind w:firstLine="4220"/>
        <w:rPr>
          <w:color w:val="000000" w:themeColor="text1"/>
        </w:rPr>
      </w:pPr>
      <w:r>
        <w:rPr>
          <w:color w:val="000000" w:themeColor="text1"/>
        </w:rPr>
        <w:t>竞商人名称：</w:t>
      </w:r>
    </w:p>
    <w:p w14:paraId="24402C15">
      <w:pPr>
        <w:pStyle w:val="13"/>
        <w:spacing w:line="360" w:lineRule="auto"/>
        <w:ind w:firstLine="4220"/>
        <w:rPr>
          <w:color w:val="000000" w:themeColor="text1"/>
          <w:u w:val="single"/>
        </w:rPr>
      </w:pPr>
      <w:r>
        <w:rPr>
          <w:color w:val="000000" w:themeColor="text1"/>
        </w:rPr>
        <w:t>公章：</w:t>
      </w:r>
    </w:p>
    <w:p w14:paraId="09478ACB">
      <w:pPr>
        <w:pStyle w:val="13"/>
        <w:tabs>
          <w:tab w:val="left" w:pos="5640"/>
        </w:tabs>
        <w:spacing w:line="360" w:lineRule="auto"/>
        <w:ind w:firstLine="4220"/>
        <w:rPr>
          <w:color w:val="000000" w:themeColor="text1"/>
          <w:u w:val="single"/>
        </w:rPr>
      </w:pPr>
      <w:r>
        <w:rPr>
          <w:color w:val="000000" w:themeColor="text1"/>
        </w:rPr>
        <w:t>法定代表人或其授权代表签字：</w:t>
      </w:r>
    </w:p>
    <w:p w14:paraId="54593C11">
      <w:pPr>
        <w:pStyle w:val="13"/>
        <w:spacing w:line="360" w:lineRule="auto"/>
        <w:ind w:firstLine="4220"/>
        <w:rPr>
          <w:color w:val="000000" w:themeColor="text1"/>
        </w:rPr>
      </w:pPr>
      <w:r>
        <w:rPr>
          <w:color w:val="000000" w:themeColor="text1"/>
        </w:rPr>
        <w:t>签字人职务：</w:t>
      </w:r>
    </w:p>
    <w:p w14:paraId="47C7B32B">
      <w:pPr>
        <w:pStyle w:val="13"/>
        <w:spacing w:line="360" w:lineRule="auto"/>
        <w:ind w:firstLine="4220"/>
        <w:rPr>
          <w:color w:val="000000" w:themeColor="text1"/>
          <w:u w:val="single"/>
        </w:rPr>
      </w:pPr>
      <w:r>
        <w:rPr>
          <w:color w:val="000000" w:themeColor="text1"/>
        </w:rPr>
        <w:t>电话号码：</w:t>
      </w:r>
    </w:p>
    <w:p w14:paraId="5C6297F4">
      <w:pPr>
        <w:pStyle w:val="13"/>
        <w:spacing w:line="360" w:lineRule="auto"/>
        <w:ind w:firstLine="4220"/>
        <w:rPr>
          <w:color w:val="000000" w:themeColor="text1"/>
        </w:rPr>
      </w:pPr>
      <w:r>
        <w:rPr>
          <w:color w:val="000000" w:themeColor="text1"/>
        </w:rPr>
        <w:t>传真号码：</w:t>
      </w:r>
    </w:p>
    <w:p w14:paraId="0CBBBE1E">
      <w:pPr>
        <w:pStyle w:val="13"/>
        <w:spacing w:line="360" w:lineRule="auto"/>
        <w:ind w:firstLine="4220"/>
        <w:rPr>
          <w:color w:val="000000" w:themeColor="text1"/>
          <w:u w:val="single"/>
        </w:rPr>
      </w:pPr>
      <w:r>
        <w:rPr>
          <w:color w:val="000000" w:themeColor="text1"/>
        </w:rPr>
        <w:t>电子信箱：</w:t>
      </w:r>
    </w:p>
    <w:p w14:paraId="685D65A7">
      <w:pPr>
        <w:pStyle w:val="126"/>
        <w:spacing w:before="0" w:after="0" w:line="360" w:lineRule="auto"/>
        <w:outlineLvl w:val="0"/>
        <w:rPr>
          <w:rFonts w:ascii="Times New Roman"/>
          <w:color w:val="000000" w:themeColor="text1"/>
        </w:rPr>
      </w:pPr>
      <w:bookmarkStart w:id="1390" w:name="_Toc496099057"/>
      <w:bookmarkStart w:id="1391" w:name="_Toc77318638"/>
      <w:bookmarkStart w:id="1392" w:name="_Toc14324"/>
      <w:bookmarkStart w:id="1393" w:name="_Toc377495902"/>
      <w:bookmarkStart w:id="1394" w:name="_Toc47513051"/>
      <w:bookmarkStart w:id="1395" w:name="_Toc17473499"/>
      <w:bookmarkStart w:id="1396" w:name="_Toc433187965"/>
      <w:bookmarkStart w:id="1397" w:name="_Toc422249738"/>
      <w:bookmarkStart w:id="1398" w:name="_Toc60663785"/>
      <w:bookmarkStart w:id="1399" w:name="_Toc357265575"/>
      <w:bookmarkStart w:id="1400" w:name="_Toc359490643"/>
      <w:bookmarkStart w:id="1401" w:name="_Toc359963795"/>
      <w:bookmarkStart w:id="1402" w:name="_Toc357809996"/>
      <w:bookmarkStart w:id="1403" w:name="_Toc360233210"/>
      <w:bookmarkStart w:id="1404" w:name="_Toc357267833"/>
    </w:p>
    <w:p w14:paraId="078187A3">
      <w:pPr>
        <w:pStyle w:val="126"/>
        <w:spacing w:before="0" w:after="0" w:line="360" w:lineRule="auto"/>
        <w:outlineLvl w:val="0"/>
        <w:rPr>
          <w:rFonts w:ascii="Times New Roman"/>
          <w:color w:val="000000" w:themeColor="text1"/>
        </w:rPr>
      </w:pPr>
    </w:p>
    <w:p w14:paraId="0E1A3392">
      <w:pPr>
        <w:pStyle w:val="126"/>
        <w:spacing w:before="0" w:after="0" w:line="360" w:lineRule="auto"/>
        <w:outlineLvl w:val="0"/>
        <w:rPr>
          <w:rFonts w:ascii="Times New Roman"/>
          <w:color w:val="000000" w:themeColor="text1"/>
        </w:rPr>
      </w:pPr>
    </w:p>
    <w:p w14:paraId="01FA875C">
      <w:pPr>
        <w:pStyle w:val="126"/>
        <w:spacing w:before="0" w:after="0" w:line="360" w:lineRule="auto"/>
        <w:outlineLvl w:val="0"/>
        <w:rPr>
          <w:rFonts w:ascii="Times New Roman"/>
          <w:color w:val="000000" w:themeColor="text1"/>
        </w:rPr>
      </w:pPr>
    </w:p>
    <w:p w14:paraId="2EADA67A">
      <w:pPr>
        <w:pStyle w:val="126"/>
        <w:spacing w:before="0" w:after="0" w:line="360" w:lineRule="auto"/>
        <w:outlineLvl w:val="0"/>
        <w:rPr>
          <w:rFonts w:ascii="Times New Roman"/>
          <w:color w:val="000000" w:themeColor="text1"/>
        </w:rPr>
      </w:pPr>
    </w:p>
    <w:p w14:paraId="6D74188B">
      <w:pPr>
        <w:pStyle w:val="126"/>
        <w:spacing w:before="0" w:after="0" w:line="360" w:lineRule="auto"/>
        <w:outlineLvl w:val="0"/>
        <w:rPr>
          <w:rFonts w:ascii="Times New Roman"/>
          <w:color w:val="000000" w:themeColor="text1"/>
        </w:rPr>
      </w:pPr>
    </w:p>
    <w:p w14:paraId="2F82039A">
      <w:pPr>
        <w:pStyle w:val="126"/>
        <w:spacing w:before="0" w:after="0" w:line="360" w:lineRule="auto"/>
        <w:outlineLvl w:val="0"/>
        <w:rPr>
          <w:rFonts w:ascii="Times New Roman"/>
          <w:color w:val="000000" w:themeColor="text1"/>
        </w:rPr>
      </w:pPr>
    </w:p>
    <w:p w14:paraId="7A117212">
      <w:pPr>
        <w:pStyle w:val="126"/>
        <w:spacing w:before="0" w:after="0" w:line="360" w:lineRule="auto"/>
        <w:outlineLvl w:val="0"/>
        <w:rPr>
          <w:rFonts w:ascii="Times New Roman"/>
          <w:color w:val="000000" w:themeColor="text1"/>
        </w:rPr>
      </w:pPr>
    </w:p>
    <w:p w14:paraId="49101AB3">
      <w:pPr>
        <w:pStyle w:val="126"/>
        <w:spacing w:before="0" w:after="0" w:line="360" w:lineRule="auto"/>
        <w:outlineLvl w:val="0"/>
        <w:rPr>
          <w:rFonts w:ascii="Times New Roman"/>
          <w:color w:val="000000" w:themeColor="text1"/>
        </w:rPr>
      </w:pPr>
    </w:p>
    <w:p w14:paraId="4DEB4C9B">
      <w:pPr>
        <w:pStyle w:val="126"/>
        <w:spacing w:before="0" w:after="0" w:line="360" w:lineRule="auto"/>
        <w:outlineLvl w:val="0"/>
        <w:rPr>
          <w:rFonts w:ascii="Times New Roman"/>
          <w:color w:val="000000" w:themeColor="text1"/>
        </w:rPr>
      </w:pPr>
    </w:p>
    <w:p w14:paraId="02D2A249">
      <w:pPr>
        <w:pStyle w:val="126"/>
        <w:spacing w:before="0" w:after="0" w:line="360" w:lineRule="auto"/>
        <w:outlineLvl w:val="0"/>
        <w:rPr>
          <w:rFonts w:ascii="Times New Roman"/>
          <w:color w:val="000000" w:themeColor="text1"/>
        </w:rPr>
      </w:pPr>
    </w:p>
    <w:p w14:paraId="0CF0D8FB">
      <w:pPr>
        <w:pStyle w:val="126"/>
        <w:spacing w:before="0" w:after="0" w:line="360" w:lineRule="auto"/>
        <w:outlineLvl w:val="0"/>
        <w:rPr>
          <w:rFonts w:ascii="Times New Roman"/>
          <w:color w:val="000000" w:themeColor="text1"/>
        </w:rPr>
      </w:pPr>
    </w:p>
    <w:p w14:paraId="10944F20">
      <w:pPr>
        <w:pStyle w:val="126"/>
        <w:spacing w:before="0" w:after="0" w:line="360" w:lineRule="auto"/>
        <w:outlineLvl w:val="0"/>
        <w:rPr>
          <w:rFonts w:ascii="Times New Roman"/>
          <w:color w:val="000000" w:themeColor="text1"/>
        </w:rPr>
      </w:pPr>
    </w:p>
    <w:p w14:paraId="040BD1CC">
      <w:pPr>
        <w:pStyle w:val="126"/>
        <w:spacing w:before="0" w:after="0" w:line="360" w:lineRule="auto"/>
        <w:outlineLvl w:val="0"/>
        <w:rPr>
          <w:rFonts w:ascii="Times New Roman"/>
          <w:color w:val="000000" w:themeColor="text1"/>
        </w:rPr>
      </w:pPr>
    </w:p>
    <w:p w14:paraId="24818361">
      <w:pPr>
        <w:pStyle w:val="126"/>
        <w:spacing w:before="0" w:after="0" w:line="360" w:lineRule="auto"/>
        <w:outlineLvl w:val="0"/>
        <w:rPr>
          <w:rFonts w:ascii="Times New Roman"/>
          <w:color w:val="000000" w:themeColor="text1"/>
        </w:rPr>
      </w:pPr>
    </w:p>
    <w:p w14:paraId="5D67B854">
      <w:pPr>
        <w:pStyle w:val="126"/>
        <w:spacing w:before="0" w:after="0" w:line="360" w:lineRule="auto"/>
        <w:outlineLvl w:val="0"/>
        <w:rPr>
          <w:rFonts w:ascii="Times New Roman"/>
          <w:color w:val="000000" w:themeColor="text1"/>
        </w:rPr>
      </w:pPr>
    </w:p>
    <w:p w14:paraId="08EA6E04">
      <w:pPr>
        <w:pStyle w:val="126"/>
        <w:spacing w:before="0" w:after="0" w:line="360" w:lineRule="auto"/>
        <w:outlineLvl w:val="0"/>
        <w:rPr>
          <w:rFonts w:ascii="Times New Roman"/>
          <w:color w:val="000000" w:themeColor="text1"/>
        </w:rPr>
      </w:pPr>
    </w:p>
    <w:p w14:paraId="4B027C25">
      <w:pPr>
        <w:pStyle w:val="126"/>
        <w:spacing w:before="0" w:after="0" w:line="360" w:lineRule="auto"/>
        <w:outlineLvl w:val="0"/>
        <w:rPr>
          <w:rFonts w:ascii="Times New Roman"/>
          <w:color w:val="000000" w:themeColor="text1"/>
        </w:rPr>
      </w:pPr>
      <w:r>
        <w:rPr>
          <w:rFonts w:ascii="Times New Roman"/>
          <w:color w:val="000000" w:themeColor="text1"/>
        </w:rPr>
        <w:t>格式6  履约证明</w:t>
      </w:r>
      <w:bookmarkEnd w:id="1390"/>
      <w:bookmarkEnd w:id="1391"/>
      <w:bookmarkEnd w:id="1392"/>
      <w:bookmarkEnd w:id="1393"/>
      <w:bookmarkEnd w:id="1394"/>
      <w:bookmarkEnd w:id="1395"/>
      <w:bookmarkEnd w:id="1396"/>
      <w:bookmarkEnd w:id="1397"/>
      <w:bookmarkEnd w:id="1398"/>
    </w:p>
    <w:p w14:paraId="245BE1FD">
      <w:pPr>
        <w:pStyle w:val="13"/>
        <w:tabs>
          <w:tab w:val="left" w:pos="8364"/>
        </w:tabs>
        <w:spacing w:line="360" w:lineRule="auto"/>
        <w:rPr>
          <w:color w:val="000000" w:themeColor="text1"/>
          <w:u w:val="single"/>
        </w:rPr>
      </w:pPr>
      <w:r>
        <w:rPr>
          <w:color w:val="000000" w:themeColor="text1"/>
        </w:rPr>
        <w:t>我司，【证明单位】为</w:t>
      </w:r>
      <w:r>
        <w:rPr>
          <w:rFonts w:hint="eastAsia"/>
          <w:color w:val="000000" w:themeColor="text1"/>
        </w:rPr>
        <w:t>包件X</w:t>
      </w:r>
      <w:r>
        <w:rPr>
          <w:color w:val="000000" w:themeColor="text1"/>
        </w:rPr>
        <w:t>【经营场地名称】的授权经营人。</w:t>
      </w:r>
    </w:p>
    <w:p w14:paraId="05C09C7F">
      <w:pPr>
        <w:pStyle w:val="13"/>
        <w:spacing w:line="360" w:lineRule="auto"/>
        <w:rPr>
          <w:color w:val="000000" w:themeColor="text1"/>
          <w:u w:val="single"/>
        </w:rPr>
      </w:pPr>
    </w:p>
    <w:p w14:paraId="0E34CEC8">
      <w:pPr>
        <w:pStyle w:val="13"/>
        <w:spacing w:line="360" w:lineRule="auto"/>
        <w:rPr>
          <w:color w:val="000000" w:themeColor="text1"/>
        </w:rPr>
      </w:pPr>
      <w:r>
        <w:rPr>
          <w:color w:val="000000" w:themeColor="text1"/>
        </w:rPr>
        <w:t>【竞商人名称】在年月至年月</w:t>
      </w:r>
      <w:r>
        <w:rPr>
          <w:rFonts w:hint="eastAsia"/>
          <w:color w:val="000000" w:themeColor="text1"/>
        </w:rPr>
        <w:t>与我司合作</w:t>
      </w:r>
      <w:r>
        <w:rPr>
          <w:color w:val="000000" w:themeColor="text1"/>
        </w:rPr>
        <w:t>期间，无重大违约情形。</w:t>
      </w:r>
    </w:p>
    <w:p w14:paraId="2ACAB626">
      <w:pPr>
        <w:pStyle w:val="13"/>
        <w:spacing w:line="360" w:lineRule="auto"/>
        <w:rPr>
          <w:color w:val="000000" w:themeColor="text1"/>
        </w:rPr>
      </w:pPr>
    </w:p>
    <w:p w14:paraId="79B855DA">
      <w:pPr>
        <w:pStyle w:val="13"/>
        <w:spacing w:line="360" w:lineRule="auto"/>
        <w:rPr>
          <w:color w:val="000000" w:themeColor="text1"/>
        </w:rPr>
      </w:pPr>
      <w:r>
        <w:rPr>
          <w:color w:val="000000" w:themeColor="text1"/>
        </w:rPr>
        <w:t>特此证明。</w:t>
      </w:r>
    </w:p>
    <w:p w14:paraId="2FAEDFD4">
      <w:pPr>
        <w:pStyle w:val="13"/>
        <w:spacing w:line="360" w:lineRule="auto"/>
        <w:rPr>
          <w:color w:val="000000" w:themeColor="text1"/>
        </w:rPr>
      </w:pPr>
      <w:r>
        <w:rPr>
          <w:color w:val="000000" w:themeColor="text1"/>
        </w:rPr>
        <w:t>证明单位（盖章）：</w:t>
      </w:r>
    </w:p>
    <w:p w14:paraId="535BD451">
      <w:pPr>
        <w:pStyle w:val="13"/>
        <w:spacing w:line="360" w:lineRule="auto"/>
        <w:rPr>
          <w:color w:val="000000" w:themeColor="text1"/>
        </w:rPr>
      </w:pPr>
      <w:r>
        <w:rPr>
          <w:color w:val="000000" w:themeColor="text1"/>
        </w:rPr>
        <w:t>年月日</w:t>
      </w:r>
    </w:p>
    <w:p w14:paraId="05532981">
      <w:pPr>
        <w:pStyle w:val="13"/>
        <w:spacing w:line="360" w:lineRule="auto"/>
        <w:rPr>
          <w:color w:val="000000" w:themeColor="text1"/>
        </w:rPr>
      </w:pPr>
    </w:p>
    <w:p w14:paraId="78258C85">
      <w:pPr>
        <w:pStyle w:val="13"/>
        <w:spacing w:line="360" w:lineRule="auto"/>
        <w:rPr>
          <w:color w:val="000000" w:themeColor="text1"/>
        </w:rPr>
      </w:pPr>
    </w:p>
    <w:p w14:paraId="66BA471A">
      <w:pPr>
        <w:pStyle w:val="13"/>
        <w:spacing w:line="360" w:lineRule="auto"/>
        <w:rPr>
          <w:color w:val="000000" w:themeColor="text1"/>
        </w:rPr>
      </w:pPr>
      <w:r>
        <w:rPr>
          <w:rFonts w:hint="eastAsia"/>
          <w:color w:val="000000" w:themeColor="text1"/>
        </w:rPr>
        <w:t>备注：包件中原经营商户继续竞争该包件的可提供，其它竞商人不需提供。证明单位系与竞商人签订该包件合作协议的招商人所属单位。</w:t>
      </w:r>
    </w:p>
    <w:p w14:paraId="4C036D78">
      <w:pPr>
        <w:pStyle w:val="13"/>
        <w:spacing w:line="360" w:lineRule="auto"/>
        <w:rPr>
          <w:color w:val="000000" w:themeColor="text1"/>
        </w:rPr>
      </w:pPr>
    </w:p>
    <w:p w14:paraId="78C9AEEC">
      <w:pPr>
        <w:pStyle w:val="13"/>
        <w:spacing w:line="360" w:lineRule="auto"/>
        <w:rPr>
          <w:color w:val="000000" w:themeColor="text1"/>
        </w:rPr>
      </w:pPr>
    </w:p>
    <w:p w14:paraId="765460ED">
      <w:pPr>
        <w:pStyle w:val="13"/>
        <w:spacing w:line="360" w:lineRule="auto"/>
        <w:rPr>
          <w:color w:val="000000" w:themeColor="text1"/>
        </w:rPr>
      </w:pPr>
    </w:p>
    <w:p w14:paraId="565D7338">
      <w:pPr>
        <w:pStyle w:val="13"/>
        <w:spacing w:line="360" w:lineRule="auto"/>
        <w:rPr>
          <w:color w:val="000000" w:themeColor="text1"/>
        </w:rPr>
      </w:pPr>
    </w:p>
    <w:p w14:paraId="3B6A07D8">
      <w:pPr>
        <w:pStyle w:val="13"/>
        <w:spacing w:line="360" w:lineRule="auto"/>
        <w:rPr>
          <w:color w:val="000000" w:themeColor="text1"/>
        </w:rPr>
      </w:pPr>
    </w:p>
    <w:p w14:paraId="365D7D55">
      <w:pPr>
        <w:pStyle w:val="13"/>
        <w:spacing w:line="360" w:lineRule="auto"/>
        <w:rPr>
          <w:color w:val="000000" w:themeColor="text1"/>
        </w:rPr>
      </w:pPr>
    </w:p>
    <w:p w14:paraId="56E077E0">
      <w:pPr>
        <w:pStyle w:val="13"/>
        <w:spacing w:line="360" w:lineRule="auto"/>
        <w:rPr>
          <w:color w:val="000000" w:themeColor="text1"/>
        </w:rPr>
      </w:pPr>
    </w:p>
    <w:p w14:paraId="463F6BFF">
      <w:pPr>
        <w:pStyle w:val="13"/>
        <w:spacing w:line="360" w:lineRule="auto"/>
        <w:rPr>
          <w:color w:val="000000" w:themeColor="text1"/>
        </w:rPr>
      </w:pPr>
    </w:p>
    <w:p w14:paraId="5FCA633D">
      <w:pPr>
        <w:pStyle w:val="13"/>
        <w:spacing w:line="360" w:lineRule="auto"/>
        <w:rPr>
          <w:color w:val="000000" w:themeColor="text1"/>
        </w:rPr>
      </w:pPr>
    </w:p>
    <w:p w14:paraId="2D79D5B9">
      <w:pPr>
        <w:pStyle w:val="13"/>
        <w:spacing w:line="360" w:lineRule="auto"/>
        <w:rPr>
          <w:color w:val="000000" w:themeColor="text1"/>
        </w:rPr>
      </w:pPr>
    </w:p>
    <w:p w14:paraId="38B80791">
      <w:pPr>
        <w:pStyle w:val="13"/>
        <w:spacing w:line="360" w:lineRule="auto"/>
        <w:rPr>
          <w:color w:val="000000" w:themeColor="text1"/>
        </w:rPr>
      </w:pPr>
    </w:p>
    <w:p w14:paraId="7E8E7B65">
      <w:pPr>
        <w:pStyle w:val="13"/>
        <w:spacing w:line="360" w:lineRule="auto"/>
        <w:rPr>
          <w:color w:val="000000" w:themeColor="text1"/>
        </w:rPr>
      </w:pPr>
    </w:p>
    <w:p w14:paraId="54AC584A">
      <w:pPr>
        <w:pStyle w:val="13"/>
        <w:spacing w:line="360" w:lineRule="auto"/>
        <w:rPr>
          <w:color w:val="000000" w:themeColor="text1"/>
        </w:rPr>
      </w:pPr>
    </w:p>
    <w:p w14:paraId="7DA4EB85">
      <w:pPr>
        <w:pStyle w:val="13"/>
        <w:spacing w:line="360" w:lineRule="auto"/>
        <w:rPr>
          <w:color w:val="000000" w:themeColor="text1"/>
        </w:rPr>
      </w:pPr>
    </w:p>
    <w:p w14:paraId="29A2872E">
      <w:pPr>
        <w:pStyle w:val="13"/>
        <w:spacing w:line="360" w:lineRule="auto"/>
        <w:rPr>
          <w:color w:val="000000" w:themeColor="text1"/>
        </w:rPr>
      </w:pPr>
    </w:p>
    <w:p w14:paraId="406DF09F">
      <w:pPr>
        <w:pStyle w:val="13"/>
        <w:spacing w:line="360" w:lineRule="auto"/>
        <w:rPr>
          <w:color w:val="000000" w:themeColor="text1"/>
        </w:rPr>
      </w:pPr>
    </w:p>
    <w:p w14:paraId="19A1FBCE">
      <w:pPr>
        <w:pStyle w:val="13"/>
        <w:spacing w:line="360" w:lineRule="auto"/>
        <w:rPr>
          <w:color w:val="000000" w:themeColor="text1"/>
        </w:rPr>
      </w:pPr>
    </w:p>
    <w:p w14:paraId="6EE6AD85">
      <w:pPr>
        <w:pStyle w:val="13"/>
        <w:spacing w:line="360" w:lineRule="auto"/>
        <w:rPr>
          <w:b/>
          <w:color w:val="000000" w:themeColor="text1"/>
        </w:rPr>
      </w:pPr>
    </w:p>
    <w:p w14:paraId="27DDF4DB">
      <w:pPr>
        <w:pStyle w:val="13"/>
        <w:spacing w:line="360" w:lineRule="auto"/>
        <w:rPr>
          <w:b/>
          <w:color w:val="000000" w:themeColor="text1"/>
        </w:rPr>
      </w:pPr>
    </w:p>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399"/>
    <w:bookmarkEnd w:id="1400"/>
    <w:bookmarkEnd w:id="1401"/>
    <w:bookmarkEnd w:id="1402"/>
    <w:bookmarkEnd w:id="1403"/>
    <w:bookmarkEnd w:id="1404"/>
    <w:p w14:paraId="2B884448">
      <w:pPr>
        <w:pStyle w:val="126"/>
        <w:spacing w:before="0" w:after="0" w:line="360" w:lineRule="auto"/>
        <w:jc w:val="left"/>
        <w:outlineLvl w:val="0"/>
        <w:rPr>
          <w:rFonts w:ascii="Times New Roman"/>
          <w:color w:val="000000" w:themeColor="text1"/>
        </w:rPr>
      </w:pPr>
      <w:bookmarkStart w:id="1405" w:name="_Toc60663786"/>
      <w:bookmarkStart w:id="1406" w:name="_Toc496099058"/>
      <w:bookmarkStart w:id="1407" w:name="_Toc29637"/>
      <w:bookmarkStart w:id="1408" w:name="_Toc377495903"/>
      <w:bookmarkStart w:id="1409" w:name="_Toc47513052"/>
      <w:bookmarkStart w:id="1410" w:name="_Toc77318639"/>
      <w:bookmarkStart w:id="1411" w:name="_Toc17473500"/>
      <w:bookmarkStart w:id="1412" w:name="_Toc433187966"/>
      <w:bookmarkStart w:id="1413" w:name="_Toc422249739"/>
    </w:p>
    <w:p w14:paraId="12ABA150">
      <w:pPr>
        <w:pStyle w:val="126"/>
        <w:spacing w:before="0" w:after="0" w:line="360" w:lineRule="auto"/>
        <w:outlineLvl w:val="0"/>
        <w:rPr>
          <w:rFonts w:ascii="Times New Roman"/>
          <w:color w:val="000000" w:themeColor="text1"/>
        </w:rPr>
      </w:pPr>
      <w:r>
        <w:rPr>
          <w:rFonts w:ascii="Times New Roman"/>
          <w:color w:val="000000" w:themeColor="text1"/>
        </w:rPr>
        <w:t>格式7  本项目经营方案</w:t>
      </w:r>
      <w:bookmarkEnd w:id="1405"/>
      <w:bookmarkEnd w:id="1406"/>
      <w:bookmarkEnd w:id="1407"/>
      <w:bookmarkEnd w:id="1408"/>
      <w:bookmarkEnd w:id="1409"/>
      <w:bookmarkEnd w:id="1410"/>
      <w:bookmarkEnd w:id="1411"/>
      <w:bookmarkEnd w:id="1412"/>
      <w:bookmarkEnd w:id="1413"/>
    </w:p>
    <w:p w14:paraId="71B4F80F">
      <w:pPr>
        <w:pStyle w:val="126"/>
        <w:spacing w:before="0" w:after="0" w:line="360" w:lineRule="auto"/>
        <w:rPr>
          <w:rFonts w:ascii="Times New Roman"/>
          <w:color w:val="000000" w:themeColor="text1"/>
        </w:rPr>
      </w:pPr>
    </w:p>
    <w:p w14:paraId="1A61F40B">
      <w:pPr>
        <w:pStyle w:val="21"/>
        <w:snapToGrid w:val="0"/>
        <w:spacing w:before="50" w:afterLines="50" w:line="360" w:lineRule="auto"/>
        <w:jc w:val="both"/>
        <w:rPr>
          <w:rFonts w:ascii="宋体" w:hAnsi="宋体"/>
          <w:bCs/>
          <w:iCs/>
          <w:color w:val="000000" w:themeColor="text1"/>
          <w:sz w:val="24"/>
        </w:rPr>
      </w:pPr>
      <w:r>
        <w:rPr>
          <w:rFonts w:ascii="宋体" w:hAnsi="宋体"/>
          <w:bCs/>
          <w:iCs/>
          <w:color w:val="000000" w:themeColor="text1"/>
          <w:sz w:val="24"/>
        </w:rPr>
        <w:t>各竞商人的经营方案应当包括但不限于以下内容：</w:t>
      </w:r>
    </w:p>
    <w:p w14:paraId="7CC158C6">
      <w:pPr>
        <w:pStyle w:val="21"/>
        <w:numPr>
          <w:ilvl w:val="0"/>
          <w:numId w:val="21"/>
        </w:numPr>
        <w:snapToGrid w:val="0"/>
        <w:spacing w:before="50" w:afterLines="50" w:line="360" w:lineRule="auto"/>
        <w:ind w:leftChars="0" w:right="0" w:rightChars="0"/>
        <w:jc w:val="both"/>
        <w:rPr>
          <w:rFonts w:ascii="宋体" w:hAnsi="宋体"/>
          <w:bCs/>
          <w:iCs/>
          <w:color w:val="000000" w:themeColor="text1"/>
          <w:sz w:val="24"/>
        </w:rPr>
      </w:pPr>
      <w:r>
        <w:rPr>
          <w:rFonts w:ascii="宋体" w:hAnsi="宋体"/>
          <w:bCs/>
          <w:iCs/>
          <w:color w:val="000000" w:themeColor="text1"/>
          <w:sz w:val="24"/>
        </w:rPr>
        <w:t>竞商人的运营理念</w:t>
      </w:r>
    </w:p>
    <w:p w14:paraId="42F3F4C6">
      <w:pPr>
        <w:pStyle w:val="21"/>
        <w:numPr>
          <w:ilvl w:val="0"/>
          <w:numId w:val="21"/>
        </w:numPr>
        <w:snapToGrid w:val="0"/>
        <w:spacing w:before="50" w:afterLines="50" w:line="360" w:lineRule="auto"/>
        <w:ind w:leftChars="0" w:right="0" w:rightChars="0"/>
        <w:jc w:val="both"/>
        <w:rPr>
          <w:rFonts w:ascii="宋体" w:hAnsi="宋体"/>
          <w:bCs/>
          <w:iCs/>
          <w:color w:val="000000" w:themeColor="text1"/>
          <w:sz w:val="24"/>
        </w:rPr>
      </w:pPr>
      <w:r>
        <w:rPr>
          <w:rFonts w:ascii="宋体" w:hAnsi="宋体"/>
          <w:bCs/>
          <w:iCs/>
          <w:color w:val="000000" w:themeColor="text1"/>
          <w:sz w:val="24"/>
        </w:rPr>
        <w:t>竞商人的经营策略</w:t>
      </w:r>
    </w:p>
    <w:p w14:paraId="74A90FCF">
      <w:pPr>
        <w:pStyle w:val="21"/>
        <w:numPr>
          <w:ilvl w:val="0"/>
          <w:numId w:val="21"/>
        </w:numPr>
        <w:snapToGrid w:val="0"/>
        <w:spacing w:before="50" w:afterLines="50" w:line="360" w:lineRule="auto"/>
        <w:ind w:leftChars="0" w:right="0" w:rightChars="0"/>
        <w:jc w:val="both"/>
        <w:rPr>
          <w:rFonts w:ascii="宋体" w:hAnsi="宋体"/>
          <w:bCs/>
          <w:iCs/>
          <w:color w:val="000000" w:themeColor="text1"/>
          <w:sz w:val="24"/>
        </w:rPr>
      </w:pPr>
      <w:r>
        <w:rPr>
          <w:rFonts w:ascii="宋体" w:hAnsi="宋体"/>
          <w:bCs/>
          <w:iCs/>
          <w:color w:val="000000" w:themeColor="text1"/>
          <w:sz w:val="24"/>
        </w:rPr>
        <w:t>竞商人的</w:t>
      </w:r>
      <w:r>
        <w:rPr>
          <w:rFonts w:hint="eastAsia" w:ascii="宋体" w:hAnsi="宋体"/>
          <w:bCs/>
          <w:iCs/>
          <w:color w:val="000000" w:themeColor="text1"/>
          <w:sz w:val="24"/>
        </w:rPr>
        <w:t>实质性</w:t>
      </w:r>
      <w:r>
        <w:rPr>
          <w:rFonts w:ascii="宋体" w:hAnsi="宋体"/>
          <w:bCs/>
          <w:iCs/>
          <w:color w:val="000000" w:themeColor="text1"/>
          <w:sz w:val="24"/>
        </w:rPr>
        <w:t>承诺等</w:t>
      </w:r>
    </w:p>
    <w:p w14:paraId="6AB68300">
      <w:pPr>
        <w:pStyle w:val="126"/>
        <w:spacing w:before="0" w:after="0" w:line="360" w:lineRule="auto"/>
        <w:rPr>
          <w:rFonts w:ascii="Times New Roman"/>
          <w:color w:val="000000" w:themeColor="text1"/>
        </w:rPr>
      </w:pPr>
    </w:p>
    <w:p w14:paraId="6551A1AA">
      <w:pPr>
        <w:pStyle w:val="126"/>
        <w:spacing w:before="0" w:after="0" w:line="360" w:lineRule="auto"/>
        <w:rPr>
          <w:rFonts w:ascii="Times New Roman"/>
          <w:color w:val="000000" w:themeColor="text1"/>
        </w:rPr>
      </w:pPr>
    </w:p>
    <w:p w14:paraId="69C16611">
      <w:pPr>
        <w:pStyle w:val="126"/>
        <w:spacing w:before="0" w:after="0" w:line="360" w:lineRule="auto"/>
        <w:rPr>
          <w:rFonts w:ascii="Times New Roman"/>
          <w:color w:val="000000" w:themeColor="text1"/>
        </w:rPr>
      </w:pPr>
    </w:p>
    <w:p w14:paraId="466D5CCD">
      <w:pPr>
        <w:pStyle w:val="126"/>
        <w:spacing w:before="0" w:after="0" w:line="360" w:lineRule="auto"/>
        <w:rPr>
          <w:rFonts w:ascii="Times New Roman"/>
          <w:color w:val="000000" w:themeColor="text1"/>
        </w:rPr>
      </w:pPr>
    </w:p>
    <w:p w14:paraId="6C91517F">
      <w:pPr>
        <w:pStyle w:val="126"/>
        <w:spacing w:before="0" w:after="0" w:line="360" w:lineRule="auto"/>
        <w:rPr>
          <w:rFonts w:ascii="Times New Roman"/>
          <w:color w:val="000000" w:themeColor="text1"/>
        </w:rPr>
      </w:pPr>
    </w:p>
    <w:p w14:paraId="70FC1E80">
      <w:pPr>
        <w:pStyle w:val="126"/>
        <w:spacing w:before="0" w:after="0" w:line="360" w:lineRule="auto"/>
        <w:rPr>
          <w:rFonts w:ascii="Times New Roman"/>
          <w:color w:val="000000" w:themeColor="text1"/>
        </w:rPr>
      </w:pPr>
    </w:p>
    <w:p w14:paraId="16747318">
      <w:pPr>
        <w:pStyle w:val="126"/>
        <w:spacing w:before="0" w:after="0" w:line="360" w:lineRule="auto"/>
        <w:rPr>
          <w:rFonts w:ascii="Times New Roman"/>
          <w:color w:val="000000" w:themeColor="text1"/>
        </w:rPr>
      </w:pPr>
    </w:p>
    <w:p w14:paraId="496DDF42">
      <w:pPr>
        <w:pStyle w:val="126"/>
        <w:spacing w:before="0" w:after="0" w:line="360" w:lineRule="auto"/>
        <w:rPr>
          <w:rFonts w:ascii="Times New Roman"/>
          <w:color w:val="000000" w:themeColor="text1"/>
        </w:rPr>
      </w:pPr>
    </w:p>
    <w:p w14:paraId="3F457848">
      <w:pPr>
        <w:pStyle w:val="126"/>
        <w:spacing w:before="0" w:after="0" w:line="360" w:lineRule="auto"/>
        <w:rPr>
          <w:rFonts w:ascii="Times New Roman"/>
          <w:color w:val="000000" w:themeColor="text1"/>
        </w:rPr>
      </w:pPr>
    </w:p>
    <w:p w14:paraId="4F113F38">
      <w:pPr>
        <w:pStyle w:val="126"/>
        <w:spacing w:before="0" w:after="0" w:line="360" w:lineRule="auto"/>
        <w:rPr>
          <w:rFonts w:ascii="Times New Roman"/>
          <w:color w:val="000000" w:themeColor="text1"/>
        </w:rPr>
      </w:pPr>
    </w:p>
    <w:p w14:paraId="536B59F7">
      <w:pPr>
        <w:pStyle w:val="126"/>
        <w:spacing w:before="0" w:after="0" w:line="360" w:lineRule="auto"/>
        <w:rPr>
          <w:rFonts w:ascii="Times New Roman"/>
          <w:color w:val="000000" w:themeColor="text1"/>
        </w:rPr>
      </w:pPr>
    </w:p>
    <w:p w14:paraId="40F605CF">
      <w:pPr>
        <w:pStyle w:val="126"/>
        <w:spacing w:before="0" w:after="0" w:line="360" w:lineRule="auto"/>
        <w:rPr>
          <w:rFonts w:ascii="Times New Roman"/>
          <w:color w:val="000000" w:themeColor="text1"/>
        </w:rPr>
      </w:pPr>
    </w:p>
    <w:p w14:paraId="2ADA344A">
      <w:pPr>
        <w:pStyle w:val="126"/>
        <w:spacing w:before="0" w:after="0" w:line="360" w:lineRule="auto"/>
        <w:rPr>
          <w:rFonts w:ascii="Times New Roman"/>
          <w:color w:val="000000" w:themeColor="text1"/>
        </w:rPr>
      </w:pPr>
    </w:p>
    <w:p w14:paraId="3BD99CB1">
      <w:pPr>
        <w:pStyle w:val="126"/>
        <w:tabs>
          <w:tab w:val="left" w:pos="3510"/>
          <w:tab w:val="center" w:pos="4762"/>
        </w:tabs>
        <w:spacing w:before="0" w:after="0" w:line="360" w:lineRule="auto"/>
        <w:jc w:val="left"/>
        <w:outlineLvl w:val="0"/>
        <w:rPr>
          <w:rFonts w:ascii="Times New Roman"/>
          <w:color w:val="000000" w:themeColor="text1"/>
        </w:rPr>
      </w:pPr>
      <w:bookmarkStart w:id="1414" w:name="_Toc377495904"/>
      <w:bookmarkStart w:id="1415" w:name="_Toc7411"/>
      <w:bookmarkStart w:id="1416" w:name="_Toc47513053"/>
      <w:bookmarkStart w:id="1417" w:name="_Toc433187967"/>
      <w:bookmarkStart w:id="1418" w:name="_Toc496099059"/>
      <w:bookmarkStart w:id="1419" w:name="_Toc60663787"/>
      <w:bookmarkStart w:id="1420" w:name="_Toc422249740"/>
      <w:bookmarkStart w:id="1421" w:name="_Toc17473501"/>
      <w:bookmarkStart w:id="1422" w:name="_Toc77318640"/>
      <w:r>
        <w:rPr>
          <w:rFonts w:ascii="Times New Roman"/>
          <w:color w:val="000000" w:themeColor="text1"/>
        </w:rPr>
        <w:tab/>
      </w:r>
    </w:p>
    <w:p w14:paraId="3F321DFF">
      <w:pPr>
        <w:pStyle w:val="126"/>
        <w:tabs>
          <w:tab w:val="left" w:pos="3510"/>
          <w:tab w:val="center" w:pos="4762"/>
        </w:tabs>
        <w:spacing w:before="0" w:after="0" w:line="360" w:lineRule="auto"/>
        <w:jc w:val="left"/>
        <w:outlineLvl w:val="0"/>
        <w:rPr>
          <w:rFonts w:ascii="Times New Roman"/>
          <w:color w:val="000000" w:themeColor="text1"/>
        </w:rPr>
      </w:pPr>
    </w:p>
    <w:p w14:paraId="669DFF82">
      <w:pPr>
        <w:pStyle w:val="126"/>
        <w:tabs>
          <w:tab w:val="left" w:pos="3510"/>
          <w:tab w:val="center" w:pos="4762"/>
        </w:tabs>
        <w:spacing w:before="0" w:after="0" w:line="360" w:lineRule="auto"/>
        <w:jc w:val="left"/>
        <w:outlineLvl w:val="0"/>
        <w:rPr>
          <w:rFonts w:ascii="Times New Roman"/>
          <w:color w:val="000000" w:themeColor="text1"/>
        </w:rPr>
      </w:pPr>
    </w:p>
    <w:p w14:paraId="09386A00">
      <w:pPr>
        <w:pStyle w:val="126"/>
        <w:tabs>
          <w:tab w:val="left" w:pos="3510"/>
          <w:tab w:val="center" w:pos="4762"/>
        </w:tabs>
        <w:spacing w:before="0" w:after="0" w:line="360" w:lineRule="auto"/>
        <w:jc w:val="left"/>
        <w:outlineLvl w:val="0"/>
        <w:rPr>
          <w:rFonts w:ascii="Times New Roman"/>
          <w:color w:val="000000" w:themeColor="text1"/>
        </w:rPr>
      </w:pPr>
    </w:p>
    <w:p w14:paraId="33D297C7">
      <w:pPr>
        <w:pStyle w:val="126"/>
        <w:tabs>
          <w:tab w:val="left" w:pos="3510"/>
          <w:tab w:val="center" w:pos="4762"/>
        </w:tabs>
        <w:spacing w:before="0" w:after="0" w:line="360" w:lineRule="auto"/>
        <w:jc w:val="left"/>
        <w:outlineLvl w:val="0"/>
        <w:rPr>
          <w:rFonts w:ascii="Times New Roman"/>
          <w:color w:val="000000" w:themeColor="text1"/>
        </w:rPr>
      </w:pPr>
    </w:p>
    <w:p w14:paraId="4BF58F89">
      <w:pPr>
        <w:pStyle w:val="126"/>
        <w:tabs>
          <w:tab w:val="left" w:pos="3510"/>
          <w:tab w:val="center" w:pos="4762"/>
        </w:tabs>
        <w:spacing w:before="0" w:after="0" w:line="360" w:lineRule="auto"/>
        <w:jc w:val="left"/>
        <w:outlineLvl w:val="0"/>
        <w:rPr>
          <w:rFonts w:ascii="Times New Roman"/>
          <w:color w:val="000000" w:themeColor="text1"/>
        </w:rPr>
      </w:pPr>
    </w:p>
    <w:p w14:paraId="755E9590">
      <w:pPr>
        <w:pStyle w:val="126"/>
        <w:tabs>
          <w:tab w:val="left" w:pos="3510"/>
          <w:tab w:val="center" w:pos="4762"/>
        </w:tabs>
        <w:spacing w:before="0" w:after="0" w:line="360" w:lineRule="auto"/>
        <w:jc w:val="left"/>
        <w:outlineLvl w:val="0"/>
        <w:rPr>
          <w:rFonts w:ascii="Times New Roman"/>
          <w:color w:val="000000" w:themeColor="text1"/>
        </w:rPr>
      </w:pPr>
    </w:p>
    <w:p w14:paraId="4777E896">
      <w:pPr>
        <w:pStyle w:val="126"/>
        <w:tabs>
          <w:tab w:val="left" w:pos="3510"/>
          <w:tab w:val="center" w:pos="4762"/>
        </w:tabs>
        <w:spacing w:before="0" w:after="0" w:line="360" w:lineRule="auto"/>
        <w:jc w:val="left"/>
        <w:outlineLvl w:val="0"/>
        <w:rPr>
          <w:rFonts w:ascii="Times New Roman"/>
          <w:color w:val="000000" w:themeColor="text1"/>
        </w:rPr>
      </w:pPr>
      <w:r>
        <w:rPr>
          <w:rFonts w:ascii="Times New Roman"/>
          <w:color w:val="000000" w:themeColor="text1"/>
        </w:rPr>
        <w:tab/>
      </w:r>
      <w:r>
        <w:rPr>
          <w:rFonts w:ascii="Times New Roman"/>
          <w:color w:val="000000" w:themeColor="text1"/>
        </w:rPr>
        <w:t>格式8  声明函</w:t>
      </w:r>
      <w:bookmarkEnd w:id="1414"/>
      <w:bookmarkEnd w:id="1415"/>
      <w:bookmarkEnd w:id="1416"/>
      <w:bookmarkEnd w:id="1417"/>
      <w:bookmarkEnd w:id="1418"/>
      <w:bookmarkEnd w:id="1419"/>
      <w:bookmarkEnd w:id="1420"/>
      <w:bookmarkEnd w:id="1421"/>
      <w:bookmarkEnd w:id="1422"/>
    </w:p>
    <w:p w14:paraId="4458C14F">
      <w:pPr>
        <w:autoSpaceDE w:val="0"/>
        <w:autoSpaceDN w:val="0"/>
        <w:spacing w:line="360" w:lineRule="auto"/>
        <w:textAlignment w:val="bottom"/>
        <w:rPr>
          <w:color w:val="000000" w:themeColor="text1"/>
        </w:rPr>
      </w:pPr>
    </w:p>
    <w:p w14:paraId="479B10D6">
      <w:pPr>
        <w:autoSpaceDE w:val="0"/>
        <w:autoSpaceDN w:val="0"/>
        <w:spacing w:line="360" w:lineRule="auto"/>
        <w:textAlignment w:val="bottom"/>
        <w:rPr>
          <w:color w:val="000000" w:themeColor="text1"/>
        </w:rPr>
      </w:pPr>
      <w:r>
        <w:rPr>
          <w:color w:val="000000" w:themeColor="text1"/>
        </w:rPr>
        <w:t>致：（招商单位名称）</w:t>
      </w:r>
    </w:p>
    <w:p w14:paraId="6EAFF9E8">
      <w:pPr>
        <w:pStyle w:val="13"/>
        <w:spacing w:line="360" w:lineRule="auto"/>
        <w:rPr>
          <w:color w:val="000000" w:themeColor="text1"/>
        </w:rPr>
      </w:pPr>
      <w:r>
        <w:rPr>
          <w:color w:val="000000" w:themeColor="text1"/>
        </w:rPr>
        <w:t>我们（竞商人名称）是按中华人民共和国法律正式成立的一家公司，主要营业地点设在（竞商人地址）。我们在参加本次招商活动前，在经营活动中没有重大违法记录，无利用不正当竞争手段取得经营权的记录；银行信用良好，无不良贷款记录；依法纳税、依法缴纳社会保证金，无违反国家规定损害职工权益的不良记录。</w:t>
      </w:r>
    </w:p>
    <w:p w14:paraId="0D627C7F">
      <w:pPr>
        <w:pStyle w:val="13"/>
        <w:spacing w:line="360" w:lineRule="auto"/>
        <w:rPr>
          <w:color w:val="000000" w:themeColor="text1"/>
        </w:rPr>
      </w:pPr>
      <w:r>
        <w:rPr>
          <w:color w:val="000000" w:themeColor="text1"/>
        </w:rPr>
        <w:t>特此声明。</w:t>
      </w:r>
    </w:p>
    <w:p w14:paraId="0FB6C4E6">
      <w:pPr>
        <w:pStyle w:val="13"/>
        <w:spacing w:line="360" w:lineRule="auto"/>
        <w:rPr>
          <w:color w:val="000000" w:themeColor="text1"/>
        </w:rPr>
      </w:pPr>
    </w:p>
    <w:p w14:paraId="6C3709C3">
      <w:pPr>
        <w:autoSpaceDE w:val="0"/>
        <w:autoSpaceDN w:val="0"/>
        <w:spacing w:line="360" w:lineRule="auto"/>
        <w:ind w:firstLine="3720" w:firstLineChars="1550"/>
        <w:textAlignment w:val="bottom"/>
        <w:rPr>
          <w:color w:val="000000" w:themeColor="text1"/>
        </w:rPr>
      </w:pPr>
      <w:r>
        <w:rPr>
          <w:color w:val="000000" w:themeColor="text1"/>
        </w:rPr>
        <w:t>竞商人名称：________________________</w:t>
      </w:r>
    </w:p>
    <w:p w14:paraId="5D8356E9">
      <w:pPr>
        <w:autoSpaceDE w:val="0"/>
        <w:autoSpaceDN w:val="0"/>
        <w:spacing w:line="360" w:lineRule="auto"/>
        <w:ind w:firstLine="3720" w:firstLineChars="1550"/>
        <w:textAlignment w:val="bottom"/>
        <w:rPr>
          <w:color w:val="000000" w:themeColor="text1"/>
        </w:rPr>
      </w:pPr>
      <w:r>
        <w:rPr>
          <w:color w:val="000000" w:themeColor="text1"/>
        </w:rPr>
        <w:t>公章：__________________________</w:t>
      </w:r>
    </w:p>
    <w:p w14:paraId="13AD3A0E">
      <w:pPr>
        <w:autoSpaceDE w:val="0"/>
        <w:autoSpaceDN w:val="0"/>
        <w:spacing w:line="360" w:lineRule="auto"/>
        <w:ind w:firstLine="3720" w:firstLineChars="1550"/>
        <w:textAlignment w:val="bottom"/>
        <w:rPr>
          <w:color w:val="000000" w:themeColor="text1"/>
        </w:rPr>
      </w:pPr>
      <w:r>
        <w:rPr>
          <w:color w:val="000000" w:themeColor="text1"/>
        </w:rPr>
        <w:t>法定代表人或其授权代表签字：___________</w:t>
      </w:r>
    </w:p>
    <w:p w14:paraId="081EB4E3">
      <w:pPr>
        <w:autoSpaceDE w:val="0"/>
        <w:autoSpaceDN w:val="0"/>
        <w:spacing w:line="360" w:lineRule="auto"/>
        <w:ind w:firstLine="3720" w:firstLineChars="1550"/>
        <w:textAlignment w:val="bottom"/>
        <w:rPr>
          <w:color w:val="000000" w:themeColor="text1"/>
        </w:rPr>
      </w:pPr>
      <w:r>
        <w:rPr>
          <w:color w:val="000000" w:themeColor="text1"/>
        </w:rPr>
        <w:t>日期：年月日</w:t>
      </w:r>
    </w:p>
    <w:p w14:paraId="1DE5EB51">
      <w:pPr>
        <w:autoSpaceDE w:val="0"/>
        <w:autoSpaceDN w:val="0"/>
        <w:spacing w:line="360" w:lineRule="auto"/>
        <w:ind w:firstLine="5640" w:firstLineChars="2350"/>
        <w:jc w:val="right"/>
        <w:textAlignment w:val="bottom"/>
        <w:rPr>
          <w:color w:val="000000" w:themeColor="text1"/>
        </w:rPr>
      </w:pPr>
    </w:p>
    <w:p w14:paraId="32C5E9EA">
      <w:pPr>
        <w:jc w:val="center"/>
        <w:outlineLvl w:val="0"/>
        <w:rPr>
          <w:rFonts w:eastAsia="黑体"/>
          <w:color w:val="000000" w:themeColor="text1"/>
          <w:sz w:val="30"/>
        </w:rPr>
      </w:pPr>
      <w:bookmarkStart w:id="1423" w:name="_Toc17713"/>
      <w:bookmarkStart w:id="1424" w:name="_Toc47513054"/>
      <w:bookmarkStart w:id="1425" w:name="_Toc422249741"/>
      <w:bookmarkStart w:id="1426" w:name="_Toc357265576"/>
      <w:bookmarkStart w:id="1427" w:name="_Toc433187968"/>
      <w:bookmarkStart w:id="1428" w:name="_Toc357267834"/>
      <w:bookmarkStart w:id="1429" w:name="_Toc60663788"/>
      <w:bookmarkStart w:id="1430" w:name="_Toc359963796"/>
      <w:bookmarkStart w:id="1431" w:name="_Toc77318641"/>
      <w:bookmarkStart w:id="1432" w:name="_Toc357809997"/>
      <w:bookmarkStart w:id="1433" w:name="_Toc360233211"/>
      <w:bookmarkStart w:id="1434" w:name="_Toc17473502"/>
      <w:bookmarkStart w:id="1435" w:name="_Toc377495905"/>
      <w:bookmarkStart w:id="1436" w:name="_Toc359490644"/>
    </w:p>
    <w:p w14:paraId="160B05E6">
      <w:pPr>
        <w:jc w:val="center"/>
        <w:outlineLvl w:val="0"/>
        <w:rPr>
          <w:rFonts w:eastAsia="黑体"/>
          <w:color w:val="000000" w:themeColor="text1"/>
          <w:sz w:val="30"/>
        </w:rPr>
      </w:pPr>
    </w:p>
    <w:p w14:paraId="5732536B">
      <w:pPr>
        <w:jc w:val="center"/>
        <w:outlineLvl w:val="0"/>
        <w:rPr>
          <w:rFonts w:eastAsia="黑体"/>
          <w:color w:val="000000" w:themeColor="text1"/>
          <w:sz w:val="30"/>
        </w:rPr>
      </w:pPr>
    </w:p>
    <w:p w14:paraId="21B9E833">
      <w:pPr>
        <w:jc w:val="center"/>
        <w:outlineLvl w:val="0"/>
        <w:rPr>
          <w:rFonts w:eastAsia="黑体"/>
          <w:color w:val="000000" w:themeColor="text1"/>
          <w:sz w:val="30"/>
        </w:rPr>
      </w:pPr>
    </w:p>
    <w:p w14:paraId="1EC0E7CA">
      <w:pPr>
        <w:jc w:val="center"/>
        <w:outlineLvl w:val="0"/>
        <w:rPr>
          <w:rFonts w:eastAsia="黑体"/>
          <w:color w:val="000000" w:themeColor="text1"/>
          <w:sz w:val="30"/>
        </w:rPr>
      </w:pPr>
    </w:p>
    <w:p w14:paraId="7FC570B8">
      <w:pPr>
        <w:jc w:val="center"/>
        <w:outlineLvl w:val="0"/>
        <w:rPr>
          <w:rFonts w:eastAsia="黑体"/>
          <w:color w:val="000000" w:themeColor="text1"/>
          <w:sz w:val="30"/>
        </w:rPr>
      </w:pPr>
    </w:p>
    <w:p w14:paraId="42658F3C">
      <w:pPr>
        <w:jc w:val="center"/>
        <w:outlineLvl w:val="0"/>
        <w:rPr>
          <w:rFonts w:eastAsia="黑体"/>
          <w:color w:val="000000" w:themeColor="text1"/>
          <w:sz w:val="30"/>
        </w:rPr>
      </w:pPr>
    </w:p>
    <w:p w14:paraId="3004A761">
      <w:pPr>
        <w:jc w:val="center"/>
        <w:outlineLvl w:val="0"/>
        <w:rPr>
          <w:rFonts w:eastAsia="黑体"/>
          <w:color w:val="000000" w:themeColor="text1"/>
          <w:sz w:val="30"/>
        </w:rPr>
      </w:pPr>
    </w:p>
    <w:p w14:paraId="078E0C8B">
      <w:pPr>
        <w:jc w:val="center"/>
        <w:outlineLvl w:val="0"/>
        <w:rPr>
          <w:rFonts w:eastAsia="黑体"/>
          <w:color w:val="000000" w:themeColor="text1"/>
          <w:sz w:val="30"/>
        </w:rPr>
      </w:pPr>
    </w:p>
    <w:p w14:paraId="4BAFFF13">
      <w:pPr>
        <w:jc w:val="center"/>
        <w:outlineLvl w:val="0"/>
        <w:rPr>
          <w:rFonts w:eastAsia="黑体"/>
          <w:color w:val="000000" w:themeColor="text1"/>
          <w:sz w:val="30"/>
        </w:rPr>
      </w:pPr>
    </w:p>
    <w:p w14:paraId="20F637F8">
      <w:pPr>
        <w:jc w:val="center"/>
        <w:outlineLvl w:val="0"/>
        <w:rPr>
          <w:rFonts w:eastAsia="黑体"/>
          <w:color w:val="000000" w:themeColor="text1"/>
          <w:sz w:val="30"/>
        </w:rPr>
      </w:pPr>
    </w:p>
    <w:p w14:paraId="09BFD797">
      <w:pPr>
        <w:jc w:val="center"/>
        <w:outlineLvl w:val="0"/>
        <w:rPr>
          <w:rFonts w:eastAsia="黑体"/>
          <w:color w:val="000000" w:themeColor="text1"/>
          <w:sz w:val="30"/>
        </w:rPr>
      </w:pPr>
    </w:p>
    <w:p w14:paraId="4DFC3C21">
      <w:pPr>
        <w:jc w:val="center"/>
        <w:outlineLvl w:val="0"/>
        <w:rPr>
          <w:rFonts w:eastAsia="黑体"/>
          <w:color w:val="000000" w:themeColor="text1"/>
          <w:sz w:val="30"/>
        </w:rPr>
      </w:pPr>
    </w:p>
    <w:p w14:paraId="7670AE41">
      <w:pPr>
        <w:jc w:val="center"/>
        <w:outlineLvl w:val="0"/>
        <w:rPr>
          <w:rFonts w:eastAsia="黑体"/>
          <w:color w:val="000000" w:themeColor="text1"/>
          <w:sz w:val="30"/>
        </w:rPr>
      </w:pPr>
    </w:p>
    <w:p w14:paraId="74B16F45">
      <w:pPr>
        <w:jc w:val="center"/>
        <w:outlineLvl w:val="0"/>
        <w:rPr>
          <w:rFonts w:eastAsia="黑体"/>
          <w:color w:val="000000" w:themeColor="text1"/>
          <w:sz w:val="30"/>
        </w:rPr>
      </w:pPr>
    </w:p>
    <w:p w14:paraId="4996BE2D">
      <w:pPr>
        <w:jc w:val="center"/>
        <w:outlineLvl w:val="0"/>
        <w:rPr>
          <w:rFonts w:eastAsia="黑体"/>
          <w:color w:val="000000" w:themeColor="text1"/>
          <w:sz w:val="30"/>
        </w:rPr>
      </w:pPr>
    </w:p>
    <w:p w14:paraId="0ADF023E">
      <w:pPr>
        <w:jc w:val="center"/>
        <w:outlineLvl w:val="0"/>
        <w:rPr>
          <w:rFonts w:eastAsia="黑体"/>
          <w:color w:val="000000" w:themeColor="text1"/>
          <w:sz w:val="30"/>
        </w:rPr>
      </w:pPr>
    </w:p>
    <w:p w14:paraId="354FA807">
      <w:pPr>
        <w:jc w:val="center"/>
        <w:outlineLvl w:val="0"/>
        <w:rPr>
          <w:rFonts w:eastAsia="黑体"/>
          <w:color w:val="000000" w:themeColor="text1"/>
          <w:sz w:val="30"/>
        </w:rPr>
      </w:pPr>
    </w:p>
    <w:p w14:paraId="7DBB514D">
      <w:pPr>
        <w:jc w:val="center"/>
        <w:outlineLvl w:val="0"/>
        <w:rPr>
          <w:rFonts w:eastAsia="黑体"/>
          <w:color w:val="000000" w:themeColor="text1"/>
          <w:sz w:val="30"/>
        </w:rPr>
      </w:pPr>
    </w:p>
    <w:p w14:paraId="08BC0ACD">
      <w:pPr>
        <w:jc w:val="center"/>
        <w:outlineLvl w:val="0"/>
        <w:rPr>
          <w:rFonts w:eastAsia="黑体"/>
          <w:color w:val="000000" w:themeColor="text1"/>
          <w:sz w:val="30"/>
        </w:rPr>
      </w:pPr>
    </w:p>
    <w:p w14:paraId="56156D67">
      <w:pPr>
        <w:jc w:val="center"/>
        <w:outlineLvl w:val="0"/>
        <w:rPr>
          <w:rFonts w:eastAsia="黑体"/>
          <w:color w:val="000000" w:themeColor="text1"/>
          <w:sz w:val="30"/>
        </w:rPr>
      </w:pPr>
    </w:p>
    <w:p w14:paraId="75D2C501">
      <w:pPr>
        <w:jc w:val="center"/>
        <w:outlineLvl w:val="0"/>
        <w:rPr>
          <w:rFonts w:eastAsia="黑体"/>
          <w:color w:val="000000" w:themeColor="text1"/>
          <w:sz w:val="28"/>
          <w:szCs w:val="28"/>
        </w:rPr>
      </w:pPr>
      <w:r>
        <w:rPr>
          <w:rFonts w:eastAsia="黑体"/>
          <w:color w:val="000000" w:themeColor="text1"/>
          <w:sz w:val="30"/>
        </w:rPr>
        <w:t>格式9  近年财务状况表</w:t>
      </w:r>
      <w:bookmarkEnd w:id="1423"/>
    </w:p>
    <w:p w14:paraId="1A74CB05">
      <w:pPr>
        <w:snapToGrid w:val="0"/>
        <w:spacing w:line="312" w:lineRule="auto"/>
        <w:ind w:firstLine="480" w:firstLineChars="200"/>
        <w:rPr>
          <w:color w:val="000000" w:themeColor="text1"/>
          <w:szCs w:val="21"/>
        </w:rPr>
      </w:pPr>
    </w:p>
    <w:p w14:paraId="6CCEC241">
      <w:pPr>
        <w:snapToGrid w:val="0"/>
        <w:spacing w:line="312" w:lineRule="auto"/>
        <w:ind w:firstLine="480" w:firstLineChars="200"/>
        <w:rPr>
          <w:color w:val="000000" w:themeColor="text1"/>
          <w:szCs w:val="21"/>
        </w:rPr>
      </w:pPr>
      <w:r>
        <w:rPr>
          <w:color w:val="000000" w:themeColor="text1"/>
          <w:szCs w:val="21"/>
        </w:rPr>
        <w:t>应附</w:t>
      </w:r>
      <w:r>
        <w:rPr>
          <w:rFonts w:hint="eastAsia"/>
          <w:color w:val="000000" w:themeColor="text1"/>
          <w:szCs w:val="21"/>
        </w:rPr>
        <w:t>竞商</w:t>
      </w:r>
      <w:r>
        <w:rPr>
          <w:color w:val="000000" w:themeColor="text1"/>
          <w:szCs w:val="21"/>
        </w:rPr>
        <w:t>人企业经第三方审计的财务会计报表，包括资产负债表、现金流量表、利润表的复印件并加盖公章，具体年份要求详见</w:t>
      </w:r>
      <w:r>
        <w:rPr>
          <w:rFonts w:hint="eastAsia"/>
          <w:color w:val="000000" w:themeColor="text1"/>
          <w:szCs w:val="21"/>
        </w:rPr>
        <w:t>招商公告</w:t>
      </w:r>
      <w:r>
        <w:rPr>
          <w:color w:val="000000" w:themeColor="text1"/>
          <w:szCs w:val="21"/>
        </w:rPr>
        <w:t>。</w:t>
      </w:r>
    </w:p>
    <w:p w14:paraId="413E729C">
      <w:pPr>
        <w:pStyle w:val="126"/>
        <w:spacing w:before="0" w:after="0" w:line="360" w:lineRule="auto"/>
        <w:rPr>
          <w:rFonts w:ascii="Times New Roman"/>
          <w:color w:val="000000" w:themeColor="text1"/>
        </w:rPr>
      </w:pPr>
    </w:p>
    <w:p w14:paraId="69AB4A31">
      <w:pPr>
        <w:pStyle w:val="126"/>
        <w:spacing w:before="0" w:after="0" w:line="360" w:lineRule="auto"/>
        <w:rPr>
          <w:rFonts w:ascii="Times New Roman"/>
          <w:color w:val="000000" w:themeColor="text1"/>
        </w:rPr>
      </w:pPr>
    </w:p>
    <w:p w14:paraId="386EBEA8">
      <w:pPr>
        <w:pStyle w:val="126"/>
        <w:spacing w:before="0" w:after="0" w:line="360" w:lineRule="auto"/>
        <w:rPr>
          <w:rFonts w:ascii="Times New Roman"/>
          <w:color w:val="000000" w:themeColor="text1"/>
        </w:rPr>
      </w:pPr>
    </w:p>
    <w:p w14:paraId="42E41081">
      <w:pPr>
        <w:pStyle w:val="126"/>
        <w:spacing w:before="0" w:after="0" w:line="360" w:lineRule="auto"/>
        <w:rPr>
          <w:rFonts w:ascii="Times New Roman"/>
          <w:color w:val="000000" w:themeColor="text1"/>
        </w:rPr>
      </w:pPr>
    </w:p>
    <w:p w14:paraId="01F2E49A">
      <w:pPr>
        <w:pStyle w:val="126"/>
        <w:spacing w:before="0" w:after="0" w:line="360" w:lineRule="auto"/>
        <w:rPr>
          <w:rFonts w:ascii="Times New Roman"/>
          <w:color w:val="000000" w:themeColor="text1"/>
        </w:rPr>
      </w:pPr>
    </w:p>
    <w:p w14:paraId="64DD540C">
      <w:pPr>
        <w:pStyle w:val="126"/>
        <w:spacing w:before="0" w:after="0" w:line="360" w:lineRule="auto"/>
        <w:rPr>
          <w:rFonts w:ascii="Times New Roman"/>
          <w:color w:val="000000" w:themeColor="text1"/>
        </w:rPr>
      </w:pPr>
    </w:p>
    <w:p w14:paraId="69219470">
      <w:pPr>
        <w:pStyle w:val="126"/>
        <w:spacing w:before="0" w:after="0" w:line="360" w:lineRule="auto"/>
        <w:rPr>
          <w:rFonts w:ascii="Times New Roman"/>
          <w:color w:val="000000" w:themeColor="text1"/>
        </w:rPr>
      </w:pPr>
    </w:p>
    <w:p w14:paraId="04836F35">
      <w:pPr>
        <w:pStyle w:val="126"/>
        <w:spacing w:before="0" w:after="0" w:line="360" w:lineRule="auto"/>
        <w:rPr>
          <w:rFonts w:ascii="Times New Roman"/>
          <w:color w:val="000000" w:themeColor="text1"/>
        </w:rPr>
      </w:pPr>
    </w:p>
    <w:p w14:paraId="2656C73D">
      <w:pPr>
        <w:pStyle w:val="126"/>
        <w:spacing w:before="0" w:after="0" w:line="360" w:lineRule="auto"/>
        <w:rPr>
          <w:rFonts w:ascii="Times New Roman"/>
          <w:color w:val="000000" w:themeColor="text1"/>
        </w:rPr>
      </w:pPr>
    </w:p>
    <w:p w14:paraId="78A3D169">
      <w:pPr>
        <w:pStyle w:val="126"/>
        <w:spacing w:before="0" w:after="0" w:line="360" w:lineRule="auto"/>
        <w:rPr>
          <w:rFonts w:ascii="Times New Roman"/>
          <w:color w:val="000000" w:themeColor="text1"/>
        </w:rPr>
      </w:pPr>
    </w:p>
    <w:p w14:paraId="362341F3">
      <w:pPr>
        <w:pStyle w:val="126"/>
        <w:spacing w:before="0" w:after="0" w:line="360" w:lineRule="auto"/>
        <w:rPr>
          <w:rFonts w:ascii="Times New Roman"/>
          <w:color w:val="000000" w:themeColor="text1"/>
        </w:rPr>
      </w:pPr>
    </w:p>
    <w:p w14:paraId="12DAA382">
      <w:pPr>
        <w:pStyle w:val="126"/>
        <w:spacing w:before="0" w:after="0" w:line="360" w:lineRule="auto"/>
        <w:rPr>
          <w:rFonts w:ascii="Times New Roman"/>
          <w:color w:val="000000" w:themeColor="text1"/>
        </w:rPr>
      </w:pPr>
    </w:p>
    <w:p w14:paraId="2D3DD2C6">
      <w:pPr>
        <w:pStyle w:val="126"/>
        <w:spacing w:before="0" w:after="0" w:line="360" w:lineRule="auto"/>
        <w:rPr>
          <w:rFonts w:ascii="Times New Roman"/>
          <w:color w:val="000000" w:themeColor="text1"/>
        </w:rPr>
      </w:pPr>
    </w:p>
    <w:p w14:paraId="68541C29">
      <w:pPr>
        <w:pStyle w:val="126"/>
        <w:spacing w:before="0" w:after="0" w:line="360" w:lineRule="auto"/>
        <w:rPr>
          <w:rFonts w:ascii="Times New Roman"/>
          <w:color w:val="000000" w:themeColor="text1"/>
        </w:rPr>
      </w:pPr>
    </w:p>
    <w:p w14:paraId="5A515DBE">
      <w:pPr>
        <w:pStyle w:val="126"/>
        <w:spacing w:before="0" w:after="0" w:line="360" w:lineRule="auto"/>
        <w:rPr>
          <w:rFonts w:ascii="Times New Roman"/>
          <w:color w:val="000000" w:themeColor="text1"/>
        </w:rPr>
      </w:pPr>
    </w:p>
    <w:p w14:paraId="6B298F75">
      <w:pPr>
        <w:pStyle w:val="126"/>
        <w:spacing w:before="0" w:after="0" w:line="360" w:lineRule="auto"/>
        <w:rPr>
          <w:rFonts w:ascii="Times New Roman"/>
          <w:color w:val="000000" w:themeColor="text1"/>
        </w:rPr>
      </w:pPr>
    </w:p>
    <w:p w14:paraId="4578CF14">
      <w:pPr>
        <w:pStyle w:val="126"/>
        <w:spacing w:before="0" w:after="0" w:line="360" w:lineRule="auto"/>
        <w:rPr>
          <w:rFonts w:ascii="Times New Roman"/>
          <w:color w:val="000000" w:themeColor="text1"/>
        </w:rPr>
      </w:pPr>
    </w:p>
    <w:p w14:paraId="1EDCB4FC">
      <w:pPr>
        <w:pStyle w:val="126"/>
        <w:spacing w:before="0" w:after="0" w:line="360" w:lineRule="auto"/>
        <w:rPr>
          <w:rFonts w:ascii="Times New Roman"/>
          <w:color w:val="000000" w:themeColor="text1"/>
        </w:rPr>
      </w:pPr>
    </w:p>
    <w:p w14:paraId="24E98747">
      <w:pPr>
        <w:pStyle w:val="126"/>
        <w:spacing w:before="0" w:after="0" w:line="360" w:lineRule="auto"/>
        <w:rPr>
          <w:rFonts w:ascii="Times New Roman"/>
          <w:color w:val="000000" w:themeColor="text1"/>
        </w:rPr>
      </w:pPr>
    </w:p>
    <w:p w14:paraId="519DD308">
      <w:pPr>
        <w:pStyle w:val="126"/>
        <w:spacing w:before="0" w:after="0" w:line="360" w:lineRule="auto"/>
        <w:rPr>
          <w:rFonts w:ascii="Times New Roman"/>
          <w:color w:val="000000" w:themeColor="text1"/>
        </w:rPr>
      </w:pPr>
    </w:p>
    <w:p w14:paraId="2938B9F1">
      <w:pPr>
        <w:pStyle w:val="126"/>
        <w:spacing w:before="0" w:after="0" w:line="360" w:lineRule="auto"/>
        <w:rPr>
          <w:rFonts w:ascii="Times New Roman"/>
          <w:color w:val="000000" w:themeColor="text1"/>
        </w:rPr>
      </w:pPr>
    </w:p>
    <w:p w14:paraId="00511A57">
      <w:pPr>
        <w:pStyle w:val="126"/>
        <w:spacing w:before="0" w:after="0" w:line="360" w:lineRule="auto"/>
        <w:rPr>
          <w:rFonts w:ascii="Times New Roman"/>
          <w:color w:val="000000" w:themeColor="text1"/>
        </w:rPr>
      </w:pPr>
    </w:p>
    <w:p w14:paraId="717C4FA2">
      <w:pPr>
        <w:pStyle w:val="126"/>
        <w:spacing w:before="0" w:after="0" w:line="360" w:lineRule="auto"/>
        <w:rPr>
          <w:rFonts w:ascii="Times New Roman"/>
          <w:color w:val="000000" w:themeColor="text1"/>
        </w:rPr>
      </w:pPr>
    </w:p>
    <w:p w14:paraId="7B21B70D">
      <w:pPr>
        <w:pStyle w:val="126"/>
        <w:spacing w:before="0" w:after="0" w:line="360" w:lineRule="auto"/>
        <w:outlineLvl w:val="0"/>
        <w:rPr>
          <w:rFonts w:ascii="Times New Roman"/>
          <w:color w:val="000000" w:themeColor="text1"/>
        </w:rPr>
      </w:pPr>
      <w:bookmarkStart w:id="1437" w:name="_Toc29711"/>
      <w:r>
        <w:rPr>
          <w:rFonts w:ascii="Times New Roman"/>
          <w:color w:val="000000" w:themeColor="text1"/>
        </w:rPr>
        <w:t xml:space="preserve">格式10 </w:t>
      </w:r>
      <w:r>
        <w:rPr>
          <w:rFonts w:hint="eastAsia" w:ascii="Times New Roman"/>
          <w:color w:val="000000" w:themeColor="text1"/>
        </w:rPr>
        <w:t>国家企业信用信息公示系统或“信用中国”或中国执行信息公开网查询结果</w:t>
      </w:r>
    </w:p>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p w14:paraId="078C0359">
      <w:pPr>
        <w:pStyle w:val="126"/>
        <w:spacing w:before="0" w:after="0" w:line="360" w:lineRule="auto"/>
        <w:jc w:val="left"/>
        <w:outlineLvl w:val="0"/>
        <w:rPr>
          <w:color w:val="000000" w:themeColor="text1"/>
        </w:rPr>
      </w:pPr>
      <w:bookmarkStart w:id="1438" w:name="OLE_LINK11"/>
      <w:r>
        <w:rPr>
          <w:color w:val="000000" w:themeColor="text1"/>
        </w:rPr>
        <w:t>致：（招商单位名称）</w:t>
      </w:r>
    </w:p>
    <w:p w14:paraId="1047663F">
      <w:pPr>
        <w:pStyle w:val="13"/>
        <w:spacing w:line="360" w:lineRule="auto"/>
        <w:rPr>
          <w:color w:val="000000" w:themeColor="text1"/>
        </w:rPr>
      </w:pPr>
      <w:r>
        <w:rPr>
          <w:rFonts w:hint="eastAsia"/>
          <w:color w:val="000000" w:themeColor="text1"/>
        </w:rPr>
        <w:t>经        查询，查询结果为：</w:t>
      </w:r>
    </w:p>
    <w:p w14:paraId="0B2D9C8D">
      <w:pPr>
        <w:autoSpaceDE w:val="0"/>
        <w:autoSpaceDN w:val="0"/>
        <w:spacing w:line="360" w:lineRule="auto"/>
        <w:ind w:firstLine="3720" w:firstLineChars="1550"/>
        <w:textAlignment w:val="bottom"/>
        <w:rPr>
          <w:color w:val="000000" w:themeColor="text1"/>
        </w:rPr>
      </w:pPr>
    </w:p>
    <w:p w14:paraId="76464643">
      <w:pPr>
        <w:autoSpaceDE w:val="0"/>
        <w:autoSpaceDN w:val="0"/>
        <w:spacing w:line="360" w:lineRule="auto"/>
        <w:ind w:firstLine="3720" w:firstLineChars="1550"/>
        <w:textAlignment w:val="bottom"/>
        <w:rPr>
          <w:color w:val="000000" w:themeColor="text1"/>
        </w:rPr>
      </w:pPr>
    </w:p>
    <w:p w14:paraId="137A205A">
      <w:pPr>
        <w:pStyle w:val="63"/>
        <w:ind w:firstLine="420"/>
        <w:rPr>
          <w:color w:val="000000" w:themeColor="text1"/>
        </w:rPr>
      </w:pPr>
    </w:p>
    <w:p w14:paraId="5E948FE4">
      <w:pPr>
        <w:rPr>
          <w:color w:val="000000" w:themeColor="text1"/>
        </w:rPr>
      </w:pPr>
    </w:p>
    <w:p w14:paraId="15CE092D">
      <w:pPr>
        <w:autoSpaceDE w:val="0"/>
        <w:autoSpaceDN w:val="0"/>
        <w:spacing w:line="360" w:lineRule="auto"/>
        <w:ind w:firstLine="3720" w:firstLineChars="1550"/>
        <w:textAlignment w:val="bottom"/>
        <w:rPr>
          <w:color w:val="000000" w:themeColor="text1"/>
        </w:rPr>
      </w:pPr>
    </w:p>
    <w:p w14:paraId="324D7BFA">
      <w:pPr>
        <w:autoSpaceDE w:val="0"/>
        <w:autoSpaceDN w:val="0"/>
        <w:spacing w:line="360" w:lineRule="auto"/>
        <w:ind w:firstLine="3720" w:firstLineChars="1550"/>
        <w:textAlignment w:val="bottom"/>
        <w:rPr>
          <w:color w:val="000000" w:themeColor="text1"/>
        </w:rPr>
      </w:pPr>
      <w:r>
        <w:rPr>
          <w:color w:val="000000" w:themeColor="text1"/>
        </w:rPr>
        <w:t>竞商人名称：________________________</w:t>
      </w:r>
    </w:p>
    <w:p w14:paraId="605EBBF1">
      <w:pPr>
        <w:autoSpaceDE w:val="0"/>
        <w:autoSpaceDN w:val="0"/>
        <w:spacing w:line="360" w:lineRule="auto"/>
        <w:ind w:firstLine="3720" w:firstLineChars="1550"/>
        <w:textAlignment w:val="bottom"/>
        <w:rPr>
          <w:color w:val="000000" w:themeColor="text1"/>
        </w:rPr>
      </w:pPr>
      <w:r>
        <w:rPr>
          <w:color w:val="000000" w:themeColor="text1"/>
        </w:rPr>
        <w:t>公章：__________________________</w:t>
      </w:r>
    </w:p>
    <w:p w14:paraId="34B5915B">
      <w:pPr>
        <w:autoSpaceDE w:val="0"/>
        <w:autoSpaceDN w:val="0"/>
        <w:spacing w:line="360" w:lineRule="auto"/>
        <w:ind w:firstLine="3720" w:firstLineChars="1550"/>
        <w:textAlignment w:val="bottom"/>
        <w:rPr>
          <w:color w:val="000000" w:themeColor="text1"/>
        </w:rPr>
      </w:pPr>
      <w:r>
        <w:rPr>
          <w:color w:val="000000" w:themeColor="text1"/>
        </w:rPr>
        <w:t>法定代表人或其授权代表签字：___________</w:t>
      </w:r>
    </w:p>
    <w:p w14:paraId="0A1875E6">
      <w:pPr>
        <w:autoSpaceDE w:val="0"/>
        <w:autoSpaceDN w:val="0"/>
        <w:spacing w:line="360" w:lineRule="auto"/>
        <w:ind w:firstLine="3720" w:firstLineChars="1550"/>
        <w:textAlignment w:val="bottom"/>
        <w:rPr>
          <w:color w:val="000000" w:themeColor="text1"/>
        </w:rPr>
      </w:pPr>
      <w:r>
        <w:rPr>
          <w:color w:val="000000" w:themeColor="text1"/>
        </w:rPr>
        <w:t>日期：年月日</w:t>
      </w:r>
    </w:p>
    <w:p w14:paraId="56EEC35A">
      <w:pPr>
        <w:pStyle w:val="63"/>
        <w:ind w:firstLine="420"/>
        <w:rPr>
          <w:color w:val="000000" w:themeColor="text1"/>
        </w:rPr>
      </w:pPr>
    </w:p>
    <w:p w14:paraId="448129EE">
      <w:pPr>
        <w:rPr>
          <w:color w:val="000000" w:themeColor="text1"/>
        </w:rPr>
      </w:pPr>
    </w:p>
    <w:p w14:paraId="389852D4">
      <w:pPr>
        <w:pStyle w:val="63"/>
        <w:ind w:firstLine="420"/>
        <w:rPr>
          <w:color w:val="000000" w:themeColor="text1"/>
        </w:rPr>
      </w:pPr>
    </w:p>
    <w:p w14:paraId="7B4D5FFC">
      <w:pPr>
        <w:rPr>
          <w:color w:val="000000" w:themeColor="text1"/>
        </w:rPr>
      </w:pPr>
    </w:p>
    <w:p w14:paraId="69FCAF9B">
      <w:pPr>
        <w:pStyle w:val="63"/>
        <w:ind w:firstLine="420"/>
        <w:rPr>
          <w:color w:val="000000" w:themeColor="text1"/>
        </w:rPr>
      </w:pPr>
    </w:p>
    <w:p w14:paraId="484AB966">
      <w:pPr>
        <w:rPr>
          <w:color w:val="000000" w:themeColor="text1"/>
        </w:rPr>
      </w:pPr>
    </w:p>
    <w:p w14:paraId="49EF31C8">
      <w:pPr>
        <w:pStyle w:val="63"/>
        <w:ind w:firstLine="420"/>
        <w:rPr>
          <w:color w:val="000000" w:themeColor="text1"/>
        </w:rPr>
      </w:pPr>
    </w:p>
    <w:p w14:paraId="3515FD49">
      <w:pPr>
        <w:rPr>
          <w:color w:val="000000" w:themeColor="text1"/>
        </w:rPr>
      </w:pPr>
    </w:p>
    <w:p w14:paraId="3A8434C1">
      <w:pPr>
        <w:pStyle w:val="63"/>
        <w:ind w:firstLine="420"/>
        <w:rPr>
          <w:color w:val="000000" w:themeColor="text1"/>
        </w:rPr>
      </w:pPr>
    </w:p>
    <w:p w14:paraId="480B7A7B">
      <w:pPr>
        <w:rPr>
          <w:color w:val="000000" w:themeColor="text1"/>
        </w:rPr>
      </w:pPr>
    </w:p>
    <w:p w14:paraId="2EF64E05">
      <w:pPr>
        <w:pStyle w:val="63"/>
        <w:ind w:firstLine="420"/>
        <w:rPr>
          <w:color w:val="000000" w:themeColor="text1"/>
        </w:rPr>
      </w:pPr>
    </w:p>
    <w:p w14:paraId="306259AC">
      <w:pPr>
        <w:rPr>
          <w:color w:val="000000" w:themeColor="text1"/>
        </w:rPr>
      </w:pPr>
    </w:p>
    <w:p w14:paraId="38C7B7E7">
      <w:pPr>
        <w:pStyle w:val="63"/>
        <w:ind w:firstLine="420"/>
        <w:rPr>
          <w:color w:val="000000" w:themeColor="text1"/>
        </w:rPr>
      </w:pPr>
    </w:p>
    <w:p w14:paraId="4C2E43B9">
      <w:pPr>
        <w:rPr>
          <w:color w:val="000000" w:themeColor="text1"/>
        </w:rPr>
      </w:pPr>
    </w:p>
    <w:p w14:paraId="7498D5F7">
      <w:pPr>
        <w:pStyle w:val="63"/>
        <w:ind w:firstLine="420"/>
        <w:rPr>
          <w:color w:val="000000" w:themeColor="text1"/>
        </w:rPr>
      </w:pPr>
    </w:p>
    <w:p w14:paraId="2102B171">
      <w:pPr>
        <w:rPr>
          <w:color w:val="000000" w:themeColor="text1"/>
        </w:rPr>
      </w:pPr>
    </w:p>
    <w:p w14:paraId="6ACE12A7">
      <w:pPr>
        <w:autoSpaceDE w:val="0"/>
        <w:autoSpaceDN w:val="0"/>
        <w:spacing w:line="360" w:lineRule="auto"/>
        <w:textAlignment w:val="bottom"/>
        <w:rPr>
          <w:b/>
          <w:color w:val="000000" w:themeColor="text1"/>
        </w:rPr>
      </w:pPr>
    </w:p>
    <w:p w14:paraId="066A7F1B">
      <w:pPr>
        <w:pStyle w:val="63"/>
        <w:ind w:firstLine="420"/>
      </w:pPr>
    </w:p>
    <w:p w14:paraId="68CF94A9"/>
    <w:p w14:paraId="5DEE67F2">
      <w:pPr>
        <w:pStyle w:val="63"/>
        <w:ind w:firstLine="420"/>
      </w:pPr>
    </w:p>
    <w:p w14:paraId="539FD9B3"/>
    <w:p w14:paraId="1DFD0817">
      <w:pPr>
        <w:pStyle w:val="63"/>
        <w:ind w:firstLine="420"/>
      </w:pPr>
    </w:p>
    <w:p w14:paraId="5931F588"/>
    <w:p w14:paraId="24AB0F38">
      <w:pPr>
        <w:pStyle w:val="63"/>
        <w:ind w:firstLine="420"/>
      </w:pPr>
    </w:p>
    <w:p w14:paraId="7D1AFAFE"/>
    <w:p w14:paraId="379EFDC6">
      <w:pPr>
        <w:pStyle w:val="63"/>
        <w:ind w:firstLine="420"/>
      </w:pPr>
    </w:p>
    <w:p w14:paraId="0DB916C2"/>
    <w:p w14:paraId="20C70697">
      <w:pPr>
        <w:autoSpaceDE w:val="0"/>
        <w:autoSpaceDN w:val="0"/>
        <w:spacing w:line="360" w:lineRule="auto"/>
        <w:textAlignment w:val="bottom"/>
        <w:rPr>
          <w:b/>
          <w:color w:val="000000" w:themeColor="text1"/>
        </w:rPr>
      </w:pPr>
    </w:p>
    <w:bookmarkEnd w:id="1438"/>
    <w:p w14:paraId="7A918D59">
      <w:pPr>
        <w:pStyle w:val="126"/>
        <w:spacing w:before="0" w:after="0" w:line="360" w:lineRule="auto"/>
        <w:outlineLvl w:val="0"/>
        <w:rPr>
          <w:rFonts w:ascii="Times New Roman"/>
          <w:color w:val="000000" w:themeColor="text1"/>
        </w:rPr>
      </w:pPr>
      <w:bookmarkStart w:id="1439" w:name="_Toc378448868"/>
      <w:bookmarkEnd w:id="1439"/>
      <w:bookmarkStart w:id="1440" w:name="_Toc422249742"/>
      <w:bookmarkEnd w:id="1440"/>
      <w:bookmarkStart w:id="1441" w:name="完"/>
      <w:bookmarkEnd w:id="1441"/>
      <w:bookmarkStart w:id="1442" w:name="OLE_LINK3"/>
      <w:bookmarkEnd w:id="1442"/>
      <w:bookmarkStart w:id="1443" w:name="_Toc397500217"/>
      <w:bookmarkEnd w:id="1443"/>
      <w:bookmarkStart w:id="1444" w:name="_Toc30686"/>
      <w:r>
        <w:rPr>
          <w:rFonts w:ascii="Times New Roman"/>
          <w:color w:val="000000" w:themeColor="text1"/>
        </w:rPr>
        <w:t xml:space="preserve">格式11  </w:t>
      </w:r>
      <w:r>
        <w:rPr>
          <w:rFonts w:hint="eastAsia" w:ascii="Times New Roman"/>
          <w:color w:val="000000" w:themeColor="text1"/>
        </w:rPr>
        <w:t>其他材料</w:t>
      </w:r>
      <w:bookmarkEnd w:id="1444"/>
    </w:p>
    <w:p w14:paraId="7BF9CAA4">
      <w:pPr>
        <w:pStyle w:val="126"/>
        <w:spacing w:before="0" w:after="0" w:line="360" w:lineRule="auto"/>
        <w:outlineLvl w:val="0"/>
        <w:rPr>
          <w:rFonts w:ascii="Times New Roman"/>
          <w:color w:val="000000" w:themeColor="text1"/>
        </w:rPr>
      </w:pPr>
    </w:p>
    <w:p w14:paraId="23C8CD79">
      <w:pPr>
        <w:pStyle w:val="126"/>
        <w:spacing w:before="0" w:after="0" w:line="360" w:lineRule="auto"/>
        <w:outlineLvl w:val="0"/>
        <w:rPr>
          <w:rFonts w:ascii="Times New Roman"/>
          <w:color w:val="000000" w:themeColor="text1"/>
        </w:rPr>
      </w:pPr>
    </w:p>
    <w:p w14:paraId="1DA6023F">
      <w:pPr>
        <w:pStyle w:val="126"/>
        <w:spacing w:before="0" w:after="0" w:line="360" w:lineRule="auto"/>
        <w:outlineLvl w:val="0"/>
        <w:rPr>
          <w:rFonts w:ascii="Times New Roman"/>
          <w:color w:val="000000" w:themeColor="text1"/>
        </w:rPr>
      </w:pPr>
    </w:p>
    <w:sectPr>
      <w:footerReference r:id="rId5" w:type="default"/>
      <w:footerReference r:id="rId6" w:type="even"/>
      <w:pgSz w:w="11907" w:h="16840"/>
      <w:pgMar w:top="1588" w:right="1021" w:bottom="1474" w:left="1021" w:header="1021" w:footer="992" w:gutter="34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D41F6D6-AC6A-41F8-B124-031F3D2C327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Helvetica">
    <w:altName w:val="Arial"/>
    <w:panose1 w:val="020B0604020202020204"/>
    <w:charset w:val="00"/>
    <w:family w:val="swiss"/>
    <w:pitch w:val="default"/>
    <w:sig w:usb0="00000000" w:usb1="00000000" w:usb2="00000000" w:usb3="00000000" w:csb0="00000001" w:csb1="00000000"/>
  </w:font>
  <w:font w:name="等线">
    <w:altName w:val="微软雅黑"/>
    <w:panose1 w:val="00000000000000000000"/>
    <w:charset w:val="86"/>
    <w:family w:val="auto"/>
    <w:pitch w:val="default"/>
    <w:sig w:usb0="00000000" w:usb1="00000000" w:usb2="00000016" w:usb3="00000000" w:csb0="0004000F" w:csb1="00000000"/>
  </w:font>
  <w:font w:name="微软雅黑">
    <w:panose1 w:val="020B0503020204020204"/>
    <w:charset w:val="86"/>
    <w:family w:val="swiss"/>
    <w:pitch w:val="default"/>
    <w:sig w:usb0="80000287" w:usb1="280F3C52" w:usb2="00000016" w:usb3="00000000" w:csb0="0004001F" w:csb1="00000000"/>
  </w:font>
  <w:font w:name="楷体">
    <w:panose1 w:val="02010609060101010101"/>
    <w:charset w:val="86"/>
    <w:family w:val="modern"/>
    <w:pitch w:val="default"/>
    <w:sig w:usb0="800002BF" w:usb1="38CF7CFA" w:usb2="00000016" w:usb3="00000000" w:csb0="00040001" w:csb1="00000000"/>
  </w:font>
  <w:font w:name="Helvetica Neue">
    <w:altName w:val="Times New Roman"/>
    <w:panose1 w:val="00000000000000000000"/>
    <w:charset w:val="00"/>
    <w:family w:val="auto"/>
    <w:pitch w:val="default"/>
    <w:sig w:usb0="00000000" w:usb1="00000000" w:usb2="00000000" w:usb3="00000000" w:csb0="00040001" w:csb1="00000000"/>
  </w:font>
  <w:font w:name="Arial Unicode MS">
    <w:altName w:val="宋体"/>
    <w:panose1 w:val="020B0604020202020204"/>
    <w:charset w:val="86"/>
    <w:family w:val="swiss"/>
    <w:pitch w:val="default"/>
    <w:sig w:usb0="00000000" w:usb1="00000000" w:usb2="0000003F" w:usb3="00000000" w:csb0="003F01FF" w:csb1="00000000"/>
  </w:font>
  <w:font w:name="仿宋_GB2312">
    <w:panose1 w:val="02010609030101010101"/>
    <w:charset w:val="86"/>
    <w:family w:val="modern"/>
    <w:pitch w:val="default"/>
    <w:sig w:usb0="00000001" w:usb1="080E0000" w:usb2="00000000" w:usb3="00000000" w:csb0="00040000" w:csb1="00000000"/>
    <w:embedRegular r:id="rId2" w:fontKey="{25069AE3-3F3C-420D-9C9B-37E424AFA763}"/>
  </w:font>
  <w:font w:name="华文中宋">
    <w:altName w:val="宋体"/>
    <w:panose1 w:val="02010600040101010101"/>
    <w:charset w:val="86"/>
    <w:family w:val="auto"/>
    <w:pitch w:val="default"/>
    <w:sig w:usb0="00000000" w:usb1="00000000" w:usb2="00000000" w:usb3="00000000" w:csb0="0004009F" w:csb1="DFD70000"/>
  </w:font>
  <w:font w:name="ˎ̥">
    <w:altName w:val="hakuyoxingshu7000"/>
    <w:panose1 w:val="00000000000000000000"/>
    <w:charset w:val="00"/>
    <w:family w:val="roman"/>
    <w:pitch w:val="default"/>
    <w:sig w:usb0="00000000" w:usb1="00000000" w:usb2="00000000" w:usb3="00000000" w:csb0="00040001" w:csb1="00000000"/>
  </w:font>
  <w:font w:name="hakuyoxingshu7000">
    <w:panose1 w:val="02000600000000000000"/>
    <w:charset w:val="86"/>
    <w:family w:val="auto"/>
    <w:pitch w:val="default"/>
    <w:sig w:usb0="FFFFFFFF" w:usb1="E9FFFFFF" w:usb2="0000003F" w:usb3="00000000" w:csb0="603F00FF" w:csb1="FFFF0000"/>
  </w:font>
  <w:font w:name="隶书">
    <w:panose1 w:val="02010509060101010101"/>
    <w:charset w:val="86"/>
    <w:family w:val="modern"/>
    <w:pitch w:val="default"/>
    <w:sig w:usb0="00000001" w:usb1="080E0000" w:usb2="00000000" w:usb3="00000000" w:csb0="00040000" w:csb1="00000000"/>
    <w:embedRegular r:id="rId3" w:fontKey="{B2327B12-0B0C-4B3B-9880-3EFE7FBB5EAD}"/>
  </w:font>
  <w:font w:name="仿宋">
    <w:panose1 w:val="02010609060101010101"/>
    <w:charset w:val="86"/>
    <w:family w:val="modern"/>
    <w:pitch w:val="default"/>
    <w:sig w:usb0="800002BF" w:usb1="38CF7CFA" w:usb2="00000016" w:usb3="00000000" w:csb0="00040001" w:csb1="00000000"/>
    <w:embedRegular r:id="rId4" w:fontKey="{A80E7697-A4A2-4572-A9EC-D26AFB6364D6}"/>
  </w:font>
  <w:font w:name="方正小标宋简体">
    <w:panose1 w:val="02000000000000000000"/>
    <w:charset w:val="86"/>
    <w:family w:val="script"/>
    <w:pitch w:val="default"/>
    <w:sig w:usb0="00000001" w:usb1="08000000" w:usb2="00000000" w:usb3="00000000" w:csb0="00040000" w:csb1="00000000"/>
    <w:embedRegular r:id="rId5" w:fontKey="{002907C3-4004-42D6-BAC0-D750A9353E0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36ABF">
    <w:pPr>
      <w:pStyle w:val="32"/>
    </w:pPr>
    <w:r>
      <w:pict>
        <v:shape id="_x0000_s1026" o:spid="_x0000_s1026" o:spt="202" type="#_x0000_t202" style="position:absolute;left:0pt;margin-top:0pt;height:13.8pt;width:31.55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0D12651F">
                <w:pPr>
                  <w:pStyle w:val="32"/>
                </w:pPr>
                <w:r>
                  <w:fldChar w:fldCharType="begin"/>
                </w:r>
                <w:r>
                  <w:instrText xml:space="preserve"> PAGE  \* MERGEFORMAT </w:instrText>
                </w:r>
                <w:r>
                  <w:fldChar w:fldCharType="separate"/>
                </w:r>
                <w:r>
                  <w:t>29</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41D558">
    <w:pPr>
      <w:pStyle w:val="32"/>
      <w:framePr w:wrap="around" w:vAnchor="text" w:hAnchor="margin" w:xAlign="right" w:y="1"/>
      <w:rPr>
        <w:rStyle w:val="56"/>
      </w:rPr>
    </w:pPr>
    <w:r>
      <w:fldChar w:fldCharType="begin"/>
    </w:r>
    <w:r>
      <w:rPr>
        <w:rStyle w:val="56"/>
      </w:rPr>
      <w:instrText xml:space="preserve">PAGE  </w:instrText>
    </w:r>
    <w:r>
      <w:fldChar w:fldCharType="separate"/>
    </w:r>
    <w:r>
      <w:rPr>
        <w:rStyle w:val="56"/>
      </w:rPr>
      <w:t>56</w:t>
    </w:r>
    <w:r>
      <w:fldChar w:fldCharType="end"/>
    </w:r>
  </w:p>
  <w:p w14:paraId="19F29980">
    <w:pPr>
      <w:pStyle w:val="3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516D5">
    <w:pPr>
      <w:pStyle w:val="32"/>
    </w:pPr>
    <w:r>
      <w:pict>
        <v:shape id="文本框 6" o:spid="_x0000_s1025" o:spt="202" type="#_x0000_t202" style="position:absolute;left:0pt;margin-top:0pt;height:13.8pt;width:31.55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2E9D0DBC">
                <w:pPr>
                  <w:pStyle w:val="32"/>
                </w:pPr>
                <w:r>
                  <w:fldChar w:fldCharType="begin"/>
                </w:r>
                <w:r>
                  <w:instrText xml:space="preserve"> PAGE  \* MERGEFORMAT </w:instrText>
                </w:r>
                <w:r>
                  <w:fldChar w:fldCharType="separate"/>
                </w:r>
                <w:r>
                  <w:t>2</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327B7">
    <w:pPr>
      <w:pStyle w:val="32"/>
      <w:framePr w:wrap="around" w:vAnchor="text" w:hAnchor="margin" w:xAlign="right" w:y="1"/>
      <w:rPr>
        <w:rStyle w:val="56"/>
      </w:rPr>
    </w:pPr>
    <w:r>
      <w:fldChar w:fldCharType="begin"/>
    </w:r>
    <w:r>
      <w:rPr>
        <w:rStyle w:val="56"/>
      </w:rPr>
      <w:instrText xml:space="preserve">PAGE  </w:instrText>
    </w:r>
    <w:r>
      <w:fldChar w:fldCharType="separate"/>
    </w:r>
    <w:r>
      <w:rPr>
        <w:rStyle w:val="56"/>
      </w:rPr>
      <w:t>56</w:t>
    </w:r>
    <w:r>
      <w:fldChar w:fldCharType="end"/>
    </w:r>
  </w:p>
  <w:p w14:paraId="2909AA29">
    <w:pPr>
      <w:pStyle w:val="32"/>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091682"/>
    <w:multiLevelType w:val="singleLevel"/>
    <w:tmpl w:val="96091682"/>
    <w:lvl w:ilvl="0" w:tentative="0">
      <w:start w:val="1"/>
      <w:numFmt w:val="decimal"/>
      <w:lvlText w:val="%1)"/>
      <w:lvlJc w:val="left"/>
      <w:pPr>
        <w:tabs>
          <w:tab w:val="left" w:pos="840"/>
        </w:tabs>
        <w:ind w:left="1265" w:hanging="425"/>
      </w:pPr>
      <w:rPr>
        <w:rFonts w:hint="default"/>
      </w:rPr>
    </w:lvl>
  </w:abstractNum>
  <w:abstractNum w:abstractNumId="1">
    <w:nsid w:val="9BD14A3F"/>
    <w:multiLevelType w:val="singleLevel"/>
    <w:tmpl w:val="9BD14A3F"/>
    <w:lvl w:ilvl="0" w:tentative="0">
      <w:start w:val="3"/>
      <w:numFmt w:val="chineseCounting"/>
      <w:suff w:val="space"/>
      <w:lvlText w:val="第%1章"/>
      <w:lvlJc w:val="left"/>
      <w:rPr>
        <w:rFonts w:hint="eastAsia"/>
      </w:rPr>
    </w:lvl>
  </w:abstractNum>
  <w:abstractNum w:abstractNumId="2">
    <w:nsid w:val="FFFFFFFB"/>
    <w:multiLevelType w:val="multilevel"/>
    <w:tmpl w:val="FFFFFFFB"/>
    <w:lvl w:ilvl="0" w:tentative="0">
      <w:start w:val="1"/>
      <w:numFmt w:val="decimal"/>
      <w:pStyle w:val="2"/>
      <w:lvlText w:val="%1"/>
      <w:legacy w:legacy="1" w:legacySpace="255" w:legacyIndent="0"/>
      <w:lvlJc w:val="left"/>
      <w:rPr>
        <w:rFonts w:hint="eastAsia" w:ascii="黑体" w:eastAsia="黑体"/>
        <w:b w:val="0"/>
        <w:i w:val="0"/>
        <w:sz w:val="24"/>
      </w:rPr>
    </w:lvl>
    <w:lvl w:ilvl="1" w:tentative="0">
      <w:start w:val="1"/>
      <w:numFmt w:val="decimal"/>
      <w:pStyle w:val="3"/>
      <w:lvlText w:val="%1.%2"/>
      <w:legacy w:legacy="1" w:legacySpace="255" w:legacyIndent="0"/>
      <w:lvlJc w:val="left"/>
      <w:pPr>
        <w:ind w:left="-240"/>
      </w:pPr>
      <w:rPr>
        <w:rFonts w:hint="eastAsia" w:ascii="黑体" w:eastAsia="黑体"/>
        <w:b w:val="0"/>
        <w:i w:val="0"/>
        <w:sz w:val="24"/>
      </w:rPr>
    </w:lvl>
    <w:lvl w:ilvl="2" w:tentative="0">
      <w:start w:val="1"/>
      <w:numFmt w:val="decimal"/>
      <w:pStyle w:val="4"/>
      <w:lvlText w:val="%1.%2.%3"/>
      <w:legacy w:legacy="1" w:legacySpace="255" w:legacyIndent="0"/>
      <w:lvlJc w:val="left"/>
      <w:rPr>
        <w:rFonts w:hint="eastAsia" w:ascii="黑体" w:eastAsia="黑体"/>
        <w:b w:val="0"/>
        <w:i w:val="0"/>
        <w:sz w:val="24"/>
      </w:rPr>
    </w:lvl>
    <w:lvl w:ilvl="3" w:tentative="0">
      <w:start w:val="1"/>
      <w:numFmt w:val="decimal"/>
      <w:pStyle w:val="5"/>
      <w:lvlText w:val="%1.%2.%3.%4"/>
      <w:legacy w:legacy="1" w:legacySpace="255" w:legacyIndent="0"/>
      <w:lvlJc w:val="left"/>
      <w:rPr>
        <w:rFonts w:hint="eastAsia" w:ascii="黑体" w:eastAsia="黑体"/>
        <w:b w:val="0"/>
        <w:i w:val="0"/>
        <w:sz w:val="24"/>
      </w:rPr>
    </w:lvl>
    <w:lvl w:ilvl="4" w:tentative="0">
      <w:start w:val="1"/>
      <w:numFmt w:val="decimal"/>
      <w:pStyle w:val="6"/>
      <w:lvlText w:val="%1.%2.%3.%4.%5"/>
      <w:legacy w:legacy="1" w:legacySpace="255" w:legacyIndent="0"/>
      <w:lvlJc w:val="left"/>
      <w:rPr>
        <w:rFonts w:hint="eastAsia" w:ascii="黑体" w:eastAsia="黑体"/>
        <w:b w:val="0"/>
        <w:i w:val="0"/>
        <w:sz w:val="24"/>
      </w:rPr>
    </w:lvl>
    <w:lvl w:ilvl="5" w:tentative="0">
      <w:start w:val="1"/>
      <w:numFmt w:val="decimal"/>
      <w:pStyle w:val="7"/>
      <w:lvlText w:val="%1.%2.%3.%4.%5.%6"/>
      <w:legacy w:legacy="1" w:legacySpace="255" w:legacyIndent="0"/>
      <w:lvlJc w:val="left"/>
      <w:rPr>
        <w:rFonts w:hint="eastAsia" w:ascii="黑体" w:eastAsia="黑体"/>
        <w:b w:val="0"/>
        <w:i w:val="0"/>
        <w:sz w:val="24"/>
      </w:rPr>
    </w:lvl>
    <w:lvl w:ilvl="6" w:tentative="0">
      <w:start w:val="1"/>
      <w:numFmt w:val="decimal"/>
      <w:pStyle w:val="8"/>
      <w:lvlText w:val="（%7）"/>
      <w:legacy w:legacy="1" w:legacySpace="113" w:legacyIndent="0"/>
      <w:lvlJc w:val="left"/>
      <w:pPr>
        <w:ind w:left="1191" w:firstLine="0"/>
      </w:pPr>
      <w:rPr>
        <w:rFonts w:hint="eastAsia" w:ascii="黑体" w:eastAsia="黑体"/>
        <w:b w:val="0"/>
        <w:i w:val="0"/>
        <w:sz w:val="24"/>
      </w:rPr>
    </w:lvl>
    <w:lvl w:ilvl="7" w:tentative="0">
      <w:start w:val="1"/>
      <w:numFmt w:val="lowerLetter"/>
      <w:pStyle w:val="9"/>
      <w:lvlText w:val="（%8）"/>
      <w:legacy w:legacy="1" w:legacySpace="113" w:legacyIndent="0"/>
      <w:lvlJc w:val="left"/>
      <w:pPr>
        <w:ind w:left="1888" w:firstLine="0"/>
      </w:pPr>
      <w:rPr>
        <w:rFonts w:hint="eastAsia" w:ascii="黑体" w:eastAsia="黑体"/>
        <w:b w:val="0"/>
        <w:i w:val="0"/>
        <w:sz w:val="24"/>
      </w:rPr>
    </w:lvl>
    <w:lvl w:ilvl="8" w:tentative="0">
      <w:start w:val="1"/>
      <w:numFmt w:val="lowerRoman"/>
      <w:pStyle w:val="10"/>
      <w:lvlText w:val="（%9）"/>
      <w:legacy w:legacy="1" w:legacySpace="113" w:legacyIndent="0"/>
      <w:lvlJc w:val="left"/>
      <w:pPr>
        <w:ind w:left="2591" w:firstLine="0"/>
      </w:pPr>
      <w:rPr>
        <w:rFonts w:hint="eastAsia" w:ascii="黑体" w:eastAsia="黑体"/>
        <w:b w:val="0"/>
        <w:i w:val="0"/>
        <w:sz w:val="24"/>
      </w:rPr>
    </w:lvl>
  </w:abstractNum>
  <w:abstractNum w:abstractNumId="3">
    <w:nsid w:val="18DA060A"/>
    <w:multiLevelType w:val="multilevel"/>
    <w:tmpl w:val="18DA060A"/>
    <w:lvl w:ilvl="0" w:tentative="0">
      <w:start w:val="1"/>
      <w:numFmt w:val="decimal"/>
      <w:lvlText w:val="%1)"/>
      <w:lvlJc w:val="left"/>
      <w:pPr>
        <w:ind w:left="846" w:hanging="420"/>
      </w:pPr>
    </w:lvl>
    <w:lvl w:ilvl="1" w:tentative="0">
      <w:start w:val="1"/>
      <w:numFmt w:val="lowerLetter"/>
      <w:lvlText w:val="%2)"/>
      <w:lvlJc w:val="left"/>
      <w:pPr>
        <w:ind w:left="1332" w:hanging="420"/>
      </w:pPr>
    </w:lvl>
    <w:lvl w:ilvl="2" w:tentative="0">
      <w:start w:val="1"/>
      <w:numFmt w:val="lowerRoman"/>
      <w:lvlText w:val="%3."/>
      <w:lvlJc w:val="right"/>
      <w:pPr>
        <w:ind w:left="1752" w:hanging="420"/>
      </w:pPr>
    </w:lvl>
    <w:lvl w:ilvl="3" w:tentative="0">
      <w:start w:val="1"/>
      <w:numFmt w:val="decimal"/>
      <w:lvlText w:val="%4."/>
      <w:lvlJc w:val="left"/>
      <w:pPr>
        <w:ind w:left="2172" w:hanging="420"/>
      </w:pPr>
    </w:lvl>
    <w:lvl w:ilvl="4" w:tentative="0">
      <w:start w:val="1"/>
      <w:numFmt w:val="lowerLetter"/>
      <w:lvlText w:val="%5)"/>
      <w:lvlJc w:val="left"/>
      <w:pPr>
        <w:ind w:left="2592" w:hanging="420"/>
      </w:pPr>
    </w:lvl>
    <w:lvl w:ilvl="5" w:tentative="0">
      <w:start w:val="1"/>
      <w:numFmt w:val="lowerRoman"/>
      <w:lvlText w:val="%6."/>
      <w:lvlJc w:val="right"/>
      <w:pPr>
        <w:ind w:left="3012" w:hanging="420"/>
      </w:pPr>
    </w:lvl>
    <w:lvl w:ilvl="6" w:tentative="0">
      <w:start w:val="1"/>
      <w:numFmt w:val="decimal"/>
      <w:lvlText w:val="%7."/>
      <w:lvlJc w:val="left"/>
      <w:pPr>
        <w:ind w:left="3432" w:hanging="420"/>
      </w:pPr>
    </w:lvl>
    <w:lvl w:ilvl="7" w:tentative="0">
      <w:start w:val="1"/>
      <w:numFmt w:val="lowerLetter"/>
      <w:lvlText w:val="%8)"/>
      <w:lvlJc w:val="left"/>
      <w:pPr>
        <w:ind w:left="3852" w:hanging="420"/>
      </w:pPr>
    </w:lvl>
    <w:lvl w:ilvl="8" w:tentative="0">
      <w:start w:val="1"/>
      <w:numFmt w:val="lowerRoman"/>
      <w:lvlText w:val="%9."/>
      <w:lvlJc w:val="right"/>
      <w:pPr>
        <w:ind w:left="4272" w:hanging="420"/>
      </w:pPr>
    </w:lvl>
  </w:abstractNum>
  <w:abstractNum w:abstractNumId="4">
    <w:nsid w:val="1FAD6E15"/>
    <w:multiLevelType w:val="multilevel"/>
    <w:tmpl w:val="1FAD6E15"/>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33F6555"/>
    <w:multiLevelType w:val="multilevel"/>
    <w:tmpl w:val="233F6555"/>
    <w:lvl w:ilvl="0" w:tentative="0">
      <w:start w:val="1"/>
      <w:numFmt w:val="decimal"/>
      <w:lvlText w:val="%1)"/>
      <w:lvlJc w:val="left"/>
      <w:pPr>
        <w:ind w:left="-289" w:hanging="420"/>
      </w:pPr>
    </w:lvl>
    <w:lvl w:ilvl="1" w:tentative="0">
      <w:start w:val="1"/>
      <w:numFmt w:val="lowerLetter"/>
      <w:lvlText w:val="%2)"/>
      <w:lvlJc w:val="left"/>
      <w:pPr>
        <w:ind w:left="131" w:hanging="420"/>
      </w:pPr>
    </w:lvl>
    <w:lvl w:ilvl="2" w:tentative="0">
      <w:start w:val="1"/>
      <w:numFmt w:val="lowerRoman"/>
      <w:lvlText w:val="%3."/>
      <w:lvlJc w:val="right"/>
      <w:pPr>
        <w:ind w:left="551" w:hanging="420"/>
      </w:pPr>
    </w:lvl>
    <w:lvl w:ilvl="3" w:tentative="0">
      <w:start w:val="1"/>
      <w:numFmt w:val="decimal"/>
      <w:lvlText w:val="%4."/>
      <w:lvlJc w:val="left"/>
      <w:pPr>
        <w:ind w:left="971" w:hanging="420"/>
      </w:pPr>
    </w:lvl>
    <w:lvl w:ilvl="4" w:tentative="0">
      <w:start w:val="1"/>
      <w:numFmt w:val="lowerLetter"/>
      <w:lvlText w:val="%5)"/>
      <w:lvlJc w:val="left"/>
      <w:pPr>
        <w:ind w:left="1391" w:hanging="420"/>
      </w:pPr>
    </w:lvl>
    <w:lvl w:ilvl="5" w:tentative="0">
      <w:start w:val="1"/>
      <w:numFmt w:val="lowerRoman"/>
      <w:lvlText w:val="%6."/>
      <w:lvlJc w:val="right"/>
      <w:pPr>
        <w:ind w:left="1811" w:hanging="420"/>
      </w:pPr>
    </w:lvl>
    <w:lvl w:ilvl="6" w:tentative="0">
      <w:start w:val="1"/>
      <w:numFmt w:val="decimal"/>
      <w:lvlText w:val="%7."/>
      <w:lvlJc w:val="left"/>
      <w:pPr>
        <w:ind w:left="2231" w:hanging="420"/>
      </w:pPr>
    </w:lvl>
    <w:lvl w:ilvl="7" w:tentative="0">
      <w:start w:val="1"/>
      <w:numFmt w:val="lowerLetter"/>
      <w:lvlText w:val="%8)"/>
      <w:lvlJc w:val="left"/>
      <w:pPr>
        <w:ind w:left="2651" w:hanging="420"/>
      </w:pPr>
    </w:lvl>
    <w:lvl w:ilvl="8" w:tentative="0">
      <w:start w:val="1"/>
      <w:numFmt w:val="lowerRoman"/>
      <w:lvlText w:val="%9."/>
      <w:lvlJc w:val="right"/>
      <w:pPr>
        <w:ind w:left="3071" w:hanging="420"/>
      </w:pPr>
    </w:lvl>
  </w:abstractNum>
  <w:abstractNum w:abstractNumId="6">
    <w:nsid w:val="2615314E"/>
    <w:multiLevelType w:val="multilevel"/>
    <w:tmpl w:val="2615314E"/>
    <w:lvl w:ilvl="0" w:tentative="0">
      <w:start w:val="1"/>
      <w:numFmt w:val="decimal"/>
      <w:pStyle w:val="143"/>
      <w:lvlText w:val="表%1"/>
      <w:lvlJc w:val="left"/>
      <w:pPr>
        <w:tabs>
          <w:tab w:val="left" w:pos="624"/>
        </w:tabs>
        <w:ind w:left="624" w:hanging="624"/>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2C347BCF"/>
    <w:multiLevelType w:val="multilevel"/>
    <w:tmpl w:val="2C347BCF"/>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2EA707A1"/>
    <w:multiLevelType w:val="multilevel"/>
    <w:tmpl w:val="2EA707A1"/>
    <w:lvl w:ilvl="0" w:tentative="0">
      <w:start w:val="1"/>
      <w:numFmt w:val="decimal"/>
      <w:lvlText w:val="%1)"/>
      <w:lvlJc w:val="left"/>
      <w:pPr>
        <w:ind w:left="704"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34CB178D"/>
    <w:multiLevelType w:val="multilevel"/>
    <w:tmpl w:val="34CB178D"/>
    <w:lvl w:ilvl="0" w:tentative="0">
      <w:start w:val="1"/>
      <w:numFmt w:val="decimal"/>
      <w:lvlText w:val="%1)"/>
      <w:lvlJc w:val="left"/>
      <w:pPr>
        <w:ind w:left="-289"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369705F4"/>
    <w:multiLevelType w:val="multilevel"/>
    <w:tmpl w:val="369705F4"/>
    <w:lvl w:ilvl="0" w:tentative="0">
      <w:start w:val="1"/>
      <w:numFmt w:val="lowerLetter"/>
      <w:suff w:val="nothing"/>
      <w:lvlText w:val="%1)"/>
      <w:lvlJc w:val="left"/>
      <w:pPr>
        <w:ind w:left="1320" w:hanging="420"/>
      </w:pPr>
      <w:rPr>
        <w:rFonts w:hint="eastAsia"/>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1">
    <w:nsid w:val="3B101CE0"/>
    <w:multiLevelType w:val="multilevel"/>
    <w:tmpl w:val="3B101CE0"/>
    <w:lvl w:ilvl="0" w:tentative="0">
      <w:start w:val="1"/>
      <w:numFmt w:val="decimal"/>
      <w:lvlText w:val="%1)"/>
      <w:lvlJc w:val="left"/>
      <w:pPr>
        <w:ind w:left="1271" w:hanging="420"/>
      </w:pPr>
    </w:lvl>
    <w:lvl w:ilvl="1" w:tentative="0">
      <w:start w:val="1"/>
      <w:numFmt w:val="lowerLetter"/>
      <w:lvlText w:val="%2)"/>
      <w:lvlJc w:val="left"/>
      <w:pPr>
        <w:ind w:left="1691" w:hanging="420"/>
      </w:pPr>
    </w:lvl>
    <w:lvl w:ilvl="2" w:tentative="0">
      <w:start w:val="1"/>
      <w:numFmt w:val="lowerRoman"/>
      <w:lvlText w:val="%3."/>
      <w:lvlJc w:val="right"/>
      <w:pPr>
        <w:ind w:left="2111" w:hanging="420"/>
      </w:pPr>
    </w:lvl>
    <w:lvl w:ilvl="3" w:tentative="0">
      <w:start w:val="1"/>
      <w:numFmt w:val="decimal"/>
      <w:lvlText w:val="%4."/>
      <w:lvlJc w:val="left"/>
      <w:pPr>
        <w:ind w:left="2531" w:hanging="420"/>
      </w:pPr>
      <w:rPr>
        <w:rFonts w:ascii="Times New Roman" w:hAnsi="Times New Roman" w:eastAsia="宋体" w:cs="Times New Roman"/>
      </w:rPr>
    </w:lvl>
    <w:lvl w:ilvl="4" w:tentative="0">
      <w:start w:val="1"/>
      <w:numFmt w:val="lowerLetter"/>
      <w:lvlText w:val="%5)"/>
      <w:lvlJc w:val="left"/>
      <w:pPr>
        <w:ind w:left="2951" w:hanging="420"/>
      </w:pPr>
    </w:lvl>
    <w:lvl w:ilvl="5" w:tentative="0">
      <w:start w:val="1"/>
      <w:numFmt w:val="lowerRoman"/>
      <w:lvlText w:val="%6."/>
      <w:lvlJc w:val="right"/>
      <w:pPr>
        <w:ind w:left="3371" w:hanging="420"/>
      </w:pPr>
    </w:lvl>
    <w:lvl w:ilvl="6" w:tentative="0">
      <w:start w:val="1"/>
      <w:numFmt w:val="decimal"/>
      <w:lvlText w:val="%7."/>
      <w:lvlJc w:val="left"/>
      <w:pPr>
        <w:ind w:left="3791" w:hanging="420"/>
      </w:pPr>
    </w:lvl>
    <w:lvl w:ilvl="7" w:tentative="0">
      <w:start w:val="1"/>
      <w:numFmt w:val="lowerLetter"/>
      <w:lvlText w:val="%8)"/>
      <w:lvlJc w:val="left"/>
      <w:pPr>
        <w:ind w:left="4211" w:hanging="420"/>
      </w:pPr>
    </w:lvl>
    <w:lvl w:ilvl="8" w:tentative="0">
      <w:start w:val="1"/>
      <w:numFmt w:val="lowerRoman"/>
      <w:lvlText w:val="%9."/>
      <w:lvlJc w:val="right"/>
      <w:pPr>
        <w:ind w:left="4631" w:hanging="420"/>
      </w:pPr>
    </w:lvl>
  </w:abstractNum>
  <w:abstractNum w:abstractNumId="12">
    <w:nsid w:val="465D3377"/>
    <w:multiLevelType w:val="multilevel"/>
    <w:tmpl w:val="465D3377"/>
    <w:lvl w:ilvl="0" w:tentative="0">
      <w:start w:val="1"/>
      <w:numFmt w:val="lowerLetter"/>
      <w:lvlText w:val="%1)"/>
      <w:lvlJc w:val="left"/>
      <w:pPr>
        <w:tabs>
          <w:tab w:val="left" w:pos="780"/>
        </w:tabs>
        <w:ind w:left="780" w:hanging="360"/>
      </w:pPr>
      <w:rPr>
        <w:rFonts w:hint="eastAsia"/>
      </w:rPr>
    </w:lvl>
    <w:lvl w:ilvl="1" w:tentative="0">
      <w:start w:val="1"/>
      <w:numFmt w:val="lowerLetter"/>
      <w:pStyle w:val="85"/>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13">
    <w:nsid w:val="515C731E"/>
    <w:multiLevelType w:val="multilevel"/>
    <w:tmpl w:val="515C731E"/>
    <w:lvl w:ilvl="0" w:tentative="0">
      <w:start w:val="1"/>
      <w:numFmt w:val="decimal"/>
      <w:lvlText w:val="%1)"/>
      <w:lvlJc w:val="left"/>
      <w:pPr>
        <w:tabs>
          <w:tab w:val="left" w:pos="1050"/>
        </w:tabs>
        <w:ind w:left="1050" w:hanging="420"/>
      </w:pPr>
      <w:rPr>
        <w:rFonts w:hint="eastAsia"/>
      </w:rPr>
    </w:lvl>
    <w:lvl w:ilvl="1" w:tentative="0">
      <w:start w:val="1"/>
      <w:numFmt w:val="lowerLetter"/>
      <w:lvlText w:val="%2．"/>
      <w:lvlJc w:val="left"/>
      <w:pPr>
        <w:tabs>
          <w:tab w:val="left" w:pos="1200"/>
        </w:tabs>
        <w:ind w:left="1200" w:hanging="360"/>
      </w:pPr>
      <w:rPr>
        <w:rFonts w:hint="default"/>
      </w:rPr>
    </w:lvl>
    <w:lvl w:ilvl="2" w:tentative="0">
      <w:start w:val="1"/>
      <w:numFmt w:val="decimal"/>
      <w:lvlText w:val="%3、"/>
      <w:lvlJc w:val="left"/>
      <w:pPr>
        <w:tabs>
          <w:tab w:val="left" w:pos="1620"/>
        </w:tabs>
        <w:ind w:left="1620" w:hanging="360"/>
      </w:pPr>
      <w:rPr>
        <w:rFonts w:hint="default"/>
      </w:r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14">
    <w:nsid w:val="53872C61"/>
    <w:multiLevelType w:val="multilevel"/>
    <w:tmpl w:val="53872C61"/>
    <w:lvl w:ilvl="0" w:tentative="0">
      <w:start w:val="1"/>
      <w:numFmt w:val="decimal"/>
      <w:pStyle w:val="131"/>
      <w:lvlText w:val="图%1"/>
      <w:lvlJc w:val="left"/>
      <w:pPr>
        <w:tabs>
          <w:tab w:val="left" w:pos="624"/>
        </w:tabs>
        <w:ind w:left="624" w:hanging="624"/>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55CC403B"/>
    <w:multiLevelType w:val="multilevel"/>
    <w:tmpl w:val="55CC403B"/>
    <w:lvl w:ilvl="0" w:tentative="0">
      <w:start w:val="1"/>
      <w:numFmt w:val="decimal"/>
      <w:lvlText w:val="%1"/>
      <w:lvlJc w:val="left"/>
      <w:pPr>
        <w:tabs>
          <w:tab w:val="left" w:pos="0"/>
        </w:tabs>
        <w:ind w:left="0" w:firstLine="0"/>
      </w:pPr>
      <w:rPr>
        <w:rFonts w:hint="eastAsia" w:ascii="黑体" w:eastAsia="黑体"/>
        <w:b w:val="0"/>
        <w:i w:val="0"/>
        <w:sz w:val="24"/>
      </w:rPr>
    </w:lvl>
    <w:lvl w:ilvl="1" w:tentative="0">
      <w:start w:val="1"/>
      <w:numFmt w:val="decimal"/>
      <w:lvlText w:val="%1.%2"/>
      <w:lvlJc w:val="left"/>
      <w:pPr>
        <w:tabs>
          <w:tab w:val="left" w:pos="0"/>
        </w:tabs>
        <w:ind w:left="0" w:firstLine="0"/>
      </w:pPr>
      <w:rPr>
        <w:rFonts w:hint="eastAsia" w:ascii="黑体" w:eastAsia="黑体"/>
        <w:b w:val="0"/>
        <w:i w:val="0"/>
        <w:sz w:val="24"/>
      </w:rPr>
    </w:lvl>
    <w:lvl w:ilvl="2" w:tentative="0">
      <w:start w:val="1"/>
      <w:numFmt w:val="decimal"/>
      <w:lvlText w:val="%1.%2.%3"/>
      <w:lvlJc w:val="left"/>
      <w:pPr>
        <w:tabs>
          <w:tab w:val="left" w:pos="0"/>
        </w:tabs>
        <w:ind w:left="0" w:firstLine="0"/>
      </w:pPr>
      <w:rPr>
        <w:rFonts w:hint="eastAsia" w:ascii="黑体" w:eastAsia="黑体"/>
        <w:b w:val="0"/>
        <w:i w:val="0"/>
        <w:sz w:val="24"/>
      </w:rPr>
    </w:lvl>
    <w:lvl w:ilvl="3" w:tentative="0">
      <w:start w:val="1"/>
      <w:numFmt w:val="decimal"/>
      <w:lvlText w:val="%1.%2.%3.%4"/>
      <w:lvlJc w:val="left"/>
      <w:pPr>
        <w:tabs>
          <w:tab w:val="left" w:pos="0"/>
        </w:tabs>
        <w:ind w:left="0" w:firstLine="0"/>
      </w:pPr>
      <w:rPr>
        <w:rFonts w:hint="eastAsia" w:ascii="黑体" w:eastAsia="黑体"/>
        <w:b w:val="0"/>
        <w:i w:val="0"/>
        <w:sz w:val="24"/>
      </w:rPr>
    </w:lvl>
    <w:lvl w:ilvl="4" w:tentative="0">
      <w:start w:val="1"/>
      <w:numFmt w:val="decimal"/>
      <w:lvlText w:val="%1.%2.%3.%4.%5"/>
      <w:lvlJc w:val="left"/>
      <w:pPr>
        <w:tabs>
          <w:tab w:val="left" w:pos="0"/>
        </w:tabs>
        <w:ind w:left="0" w:firstLine="0"/>
      </w:pPr>
      <w:rPr>
        <w:rFonts w:hint="eastAsia" w:ascii="黑体" w:eastAsia="黑体"/>
        <w:b w:val="0"/>
        <w:i w:val="0"/>
        <w:sz w:val="24"/>
      </w:rPr>
    </w:lvl>
    <w:lvl w:ilvl="5" w:tentative="0">
      <w:start w:val="1"/>
      <w:numFmt w:val="decimal"/>
      <w:lvlText w:val="%1.%2.%3.%4.%5.%6"/>
      <w:lvlJc w:val="left"/>
      <w:pPr>
        <w:tabs>
          <w:tab w:val="left" w:pos="0"/>
        </w:tabs>
        <w:ind w:left="0" w:firstLine="0"/>
      </w:pPr>
      <w:rPr>
        <w:rFonts w:hint="eastAsia" w:ascii="黑体" w:eastAsia="黑体"/>
        <w:b w:val="0"/>
        <w:i w:val="0"/>
        <w:sz w:val="24"/>
      </w:rPr>
    </w:lvl>
    <w:lvl w:ilvl="6" w:tentative="0">
      <w:start w:val="1"/>
      <w:numFmt w:val="decimal"/>
      <w:lvlText w:val="（%7）"/>
      <w:lvlJc w:val="left"/>
      <w:pPr>
        <w:tabs>
          <w:tab w:val="left" w:pos="249"/>
        </w:tabs>
        <w:ind w:left="1440" w:firstLine="0"/>
      </w:pPr>
      <w:rPr>
        <w:rFonts w:hint="eastAsia" w:ascii="黑体" w:eastAsia="黑体"/>
        <w:b w:val="0"/>
        <w:i w:val="0"/>
        <w:sz w:val="24"/>
      </w:rPr>
    </w:lvl>
    <w:lvl w:ilvl="7" w:tentative="0">
      <w:start w:val="1"/>
      <w:numFmt w:val="lowerLetter"/>
      <w:lvlText w:val="（%8）"/>
      <w:lvlJc w:val="left"/>
      <w:pPr>
        <w:tabs>
          <w:tab w:val="left" w:pos="0"/>
        </w:tabs>
        <w:ind w:left="1888" w:firstLine="0"/>
      </w:pPr>
      <w:rPr>
        <w:rFonts w:hint="eastAsia" w:ascii="黑体" w:eastAsia="黑体"/>
        <w:b w:val="0"/>
        <w:i w:val="0"/>
        <w:sz w:val="24"/>
      </w:rPr>
    </w:lvl>
    <w:lvl w:ilvl="8" w:tentative="0">
      <w:start w:val="1"/>
      <w:numFmt w:val="lowerRoman"/>
      <w:lvlText w:val="（%9）"/>
      <w:lvlJc w:val="left"/>
      <w:pPr>
        <w:tabs>
          <w:tab w:val="left" w:pos="0"/>
        </w:tabs>
        <w:ind w:left="2591" w:firstLine="0"/>
      </w:pPr>
      <w:rPr>
        <w:rFonts w:hint="eastAsia" w:ascii="黑体" w:eastAsia="黑体"/>
        <w:b w:val="0"/>
        <w:i w:val="0"/>
        <w:sz w:val="24"/>
      </w:rPr>
    </w:lvl>
  </w:abstractNum>
  <w:abstractNum w:abstractNumId="16">
    <w:nsid w:val="68513B5F"/>
    <w:multiLevelType w:val="multilevel"/>
    <w:tmpl w:val="68513B5F"/>
    <w:lvl w:ilvl="0" w:tentative="0">
      <w:start w:val="2"/>
      <w:numFmt w:val="decimal"/>
      <w:pStyle w:val="116"/>
      <w:lvlText w:val="%1."/>
      <w:lvlJc w:val="left"/>
      <w:pPr>
        <w:tabs>
          <w:tab w:val="left" w:pos="1186"/>
        </w:tabs>
        <w:ind w:left="1186" w:hanging="360"/>
      </w:pPr>
      <w:rPr>
        <w:rFonts w:hint="default"/>
      </w:rPr>
    </w:lvl>
    <w:lvl w:ilvl="1" w:tentative="0">
      <w:start w:val="1"/>
      <w:numFmt w:val="lowerLetter"/>
      <w:lvlText w:val="%2)"/>
      <w:lvlJc w:val="left"/>
      <w:pPr>
        <w:tabs>
          <w:tab w:val="left" w:pos="1666"/>
        </w:tabs>
        <w:ind w:left="1666" w:hanging="420"/>
      </w:pPr>
    </w:lvl>
    <w:lvl w:ilvl="2" w:tentative="0">
      <w:start w:val="1"/>
      <w:numFmt w:val="lowerRoman"/>
      <w:lvlText w:val="%3."/>
      <w:lvlJc w:val="right"/>
      <w:pPr>
        <w:tabs>
          <w:tab w:val="left" w:pos="2086"/>
        </w:tabs>
        <w:ind w:left="2086" w:hanging="420"/>
      </w:pPr>
    </w:lvl>
    <w:lvl w:ilvl="3" w:tentative="0">
      <w:start w:val="1"/>
      <w:numFmt w:val="decimal"/>
      <w:lvlText w:val="%4."/>
      <w:lvlJc w:val="left"/>
      <w:pPr>
        <w:tabs>
          <w:tab w:val="left" w:pos="2506"/>
        </w:tabs>
        <w:ind w:left="2506" w:hanging="420"/>
      </w:pPr>
    </w:lvl>
    <w:lvl w:ilvl="4" w:tentative="0">
      <w:start w:val="1"/>
      <w:numFmt w:val="lowerLetter"/>
      <w:lvlText w:val="%5)"/>
      <w:lvlJc w:val="left"/>
      <w:pPr>
        <w:tabs>
          <w:tab w:val="left" w:pos="2926"/>
        </w:tabs>
        <w:ind w:left="2926" w:hanging="420"/>
      </w:pPr>
    </w:lvl>
    <w:lvl w:ilvl="5" w:tentative="0">
      <w:start w:val="1"/>
      <w:numFmt w:val="lowerRoman"/>
      <w:lvlText w:val="%6."/>
      <w:lvlJc w:val="right"/>
      <w:pPr>
        <w:tabs>
          <w:tab w:val="left" w:pos="3346"/>
        </w:tabs>
        <w:ind w:left="3346" w:hanging="420"/>
      </w:pPr>
    </w:lvl>
    <w:lvl w:ilvl="6" w:tentative="0">
      <w:start w:val="1"/>
      <w:numFmt w:val="decimal"/>
      <w:lvlText w:val="%7."/>
      <w:lvlJc w:val="left"/>
      <w:pPr>
        <w:tabs>
          <w:tab w:val="left" w:pos="3766"/>
        </w:tabs>
        <w:ind w:left="3766" w:hanging="420"/>
      </w:pPr>
    </w:lvl>
    <w:lvl w:ilvl="7" w:tentative="0">
      <w:start w:val="1"/>
      <w:numFmt w:val="lowerLetter"/>
      <w:lvlText w:val="%8)"/>
      <w:lvlJc w:val="left"/>
      <w:pPr>
        <w:tabs>
          <w:tab w:val="left" w:pos="4186"/>
        </w:tabs>
        <w:ind w:left="4186" w:hanging="420"/>
      </w:pPr>
    </w:lvl>
    <w:lvl w:ilvl="8" w:tentative="0">
      <w:start w:val="1"/>
      <w:numFmt w:val="lowerRoman"/>
      <w:lvlText w:val="%9."/>
      <w:lvlJc w:val="right"/>
      <w:pPr>
        <w:tabs>
          <w:tab w:val="left" w:pos="4606"/>
        </w:tabs>
        <w:ind w:left="4606" w:hanging="420"/>
      </w:pPr>
    </w:lvl>
  </w:abstractNum>
  <w:abstractNum w:abstractNumId="17">
    <w:nsid w:val="6D470353"/>
    <w:multiLevelType w:val="multilevel"/>
    <w:tmpl w:val="6D470353"/>
    <w:lvl w:ilvl="0" w:tentative="0">
      <w:start w:val="1"/>
      <w:numFmt w:val="decimal"/>
      <w:lvlText w:val="%1)"/>
      <w:lvlJc w:val="left"/>
      <w:pPr>
        <w:ind w:left="-289"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8">
    <w:nsid w:val="71AC2477"/>
    <w:multiLevelType w:val="multilevel"/>
    <w:tmpl w:val="71AC2477"/>
    <w:lvl w:ilvl="0" w:tentative="0">
      <w:start w:val="1"/>
      <w:numFmt w:val="decimal"/>
      <w:lvlText w:val="%1）"/>
      <w:lvlJc w:val="left"/>
      <w:pPr>
        <w:ind w:left="465" w:hanging="46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724D3A97"/>
    <w:multiLevelType w:val="multilevel"/>
    <w:tmpl w:val="724D3A97"/>
    <w:lvl w:ilvl="0" w:tentative="0">
      <w:start w:val="1"/>
      <w:numFmt w:val="decimal"/>
      <w:lvlText w:val="%1)"/>
      <w:lvlJc w:val="left"/>
      <w:pPr>
        <w:ind w:left="902" w:hanging="420"/>
      </w:pPr>
      <w:rPr>
        <w:rFonts w:hint="eastAsia"/>
      </w:r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num w:numId="1">
    <w:abstractNumId w:val="2"/>
  </w:num>
  <w:num w:numId="2">
    <w:abstractNumId w:val="12"/>
  </w:num>
  <w:num w:numId="3">
    <w:abstractNumId w:val="16"/>
  </w:num>
  <w:num w:numId="4">
    <w:abstractNumId w:val="14"/>
  </w:num>
  <w:num w:numId="5">
    <w:abstractNumId w:val="6"/>
  </w:num>
  <w:num w:numId="6">
    <w:abstractNumId w:val="4"/>
  </w:num>
  <w:num w:numId="7">
    <w:abstractNumId w:val="3"/>
  </w:num>
  <w:num w:numId="8">
    <w:abstractNumId w:val="11"/>
  </w:num>
  <w:num w:numId="9">
    <w:abstractNumId w:val="9"/>
  </w:num>
  <w:num w:numId="10">
    <w:abstractNumId w:val="17"/>
  </w:num>
  <w:num w:numId="11">
    <w:abstractNumId w:val="8"/>
  </w:num>
  <w:num w:numId="12">
    <w:abstractNumId w:val="18"/>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7"/>
  </w:num>
  <w:num w:numId="16">
    <w:abstractNumId w:val="15"/>
  </w:num>
  <w:num w:numId="17">
    <w:abstractNumId w:val="13"/>
  </w:num>
  <w:num w:numId="18">
    <w:abstractNumId w:val="5"/>
  </w:num>
  <w:num w:numId="19">
    <w:abstractNumId w:val="10"/>
  </w:num>
  <w:num w:numId="20">
    <w:abstractNumId w:val="19"/>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linkStyles/>
  <w:attachedTemplate r:id="rId1"/>
  <w:revisionView w:markup="0"/>
  <w:documentProtection w:enforcement="0"/>
  <w:defaultTabStop w:val="425"/>
  <w:drawingGridHorizontalSpacing w:val="120"/>
  <w:drawingGridVerticalSpacing w:val="20"/>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doNotWrapTextWithPunct/>
    <w:doNotUseEastAsianBreakRules/>
    <w:useFELayout/>
    <w:compatSetting w:name="compatibilityMode" w:uri="http://schemas.microsoft.com/office/word" w:val="12"/>
  </w:compat>
  <w:docVars>
    <w:docVar w:name="commondata" w:val="eyJoZGlkIjoiMGFmMGVhNGM5ZjBlYWYwODMxYzlmMzUzMTE4MDRiZGEifQ=="/>
  </w:docVars>
  <w:rsids>
    <w:rsidRoot w:val="005C273E"/>
    <w:rsid w:val="0000011D"/>
    <w:rsid w:val="0000032E"/>
    <w:rsid w:val="00000448"/>
    <w:rsid w:val="000006A6"/>
    <w:rsid w:val="000007DE"/>
    <w:rsid w:val="0000092D"/>
    <w:rsid w:val="000010C5"/>
    <w:rsid w:val="00001325"/>
    <w:rsid w:val="0000139A"/>
    <w:rsid w:val="000014D5"/>
    <w:rsid w:val="00001BD4"/>
    <w:rsid w:val="00001EEA"/>
    <w:rsid w:val="00001F23"/>
    <w:rsid w:val="00002684"/>
    <w:rsid w:val="0000271B"/>
    <w:rsid w:val="00002779"/>
    <w:rsid w:val="00002A54"/>
    <w:rsid w:val="00002E7F"/>
    <w:rsid w:val="00002F4E"/>
    <w:rsid w:val="00003137"/>
    <w:rsid w:val="0000323A"/>
    <w:rsid w:val="000032F6"/>
    <w:rsid w:val="0000342E"/>
    <w:rsid w:val="00003437"/>
    <w:rsid w:val="0000359A"/>
    <w:rsid w:val="000035BF"/>
    <w:rsid w:val="00004463"/>
    <w:rsid w:val="00004B96"/>
    <w:rsid w:val="00005920"/>
    <w:rsid w:val="0000599E"/>
    <w:rsid w:val="000059E4"/>
    <w:rsid w:val="00005A6A"/>
    <w:rsid w:val="00005CE5"/>
    <w:rsid w:val="00005DCA"/>
    <w:rsid w:val="000061AF"/>
    <w:rsid w:val="00006594"/>
    <w:rsid w:val="0000663D"/>
    <w:rsid w:val="00006B9D"/>
    <w:rsid w:val="00006F07"/>
    <w:rsid w:val="0000738D"/>
    <w:rsid w:val="0000764E"/>
    <w:rsid w:val="00007CF2"/>
    <w:rsid w:val="00007E29"/>
    <w:rsid w:val="000102CB"/>
    <w:rsid w:val="0001042B"/>
    <w:rsid w:val="00010572"/>
    <w:rsid w:val="0001087E"/>
    <w:rsid w:val="0001190C"/>
    <w:rsid w:val="00011E1E"/>
    <w:rsid w:val="00011F28"/>
    <w:rsid w:val="000123C2"/>
    <w:rsid w:val="00012786"/>
    <w:rsid w:val="00012A49"/>
    <w:rsid w:val="00012B78"/>
    <w:rsid w:val="00012DDE"/>
    <w:rsid w:val="00012E29"/>
    <w:rsid w:val="000131DB"/>
    <w:rsid w:val="00013245"/>
    <w:rsid w:val="000137A4"/>
    <w:rsid w:val="00013906"/>
    <w:rsid w:val="00013F6D"/>
    <w:rsid w:val="0001463B"/>
    <w:rsid w:val="0001473B"/>
    <w:rsid w:val="00014AC8"/>
    <w:rsid w:val="00014AE1"/>
    <w:rsid w:val="00014EEE"/>
    <w:rsid w:val="000155C7"/>
    <w:rsid w:val="00015C92"/>
    <w:rsid w:val="000165A4"/>
    <w:rsid w:val="00016987"/>
    <w:rsid w:val="00016A91"/>
    <w:rsid w:val="00017111"/>
    <w:rsid w:val="00017563"/>
    <w:rsid w:val="00017755"/>
    <w:rsid w:val="000178ED"/>
    <w:rsid w:val="00017D52"/>
    <w:rsid w:val="00017E6B"/>
    <w:rsid w:val="00017EA9"/>
    <w:rsid w:val="00017EFF"/>
    <w:rsid w:val="00017FE5"/>
    <w:rsid w:val="000200EE"/>
    <w:rsid w:val="000205E4"/>
    <w:rsid w:val="0002061D"/>
    <w:rsid w:val="00020746"/>
    <w:rsid w:val="00020791"/>
    <w:rsid w:val="0002083A"/>
    <w:rsid w:val="00020C9A"/>
    <w:rsid w:val="00021159"/>
    <w:rsid w:val="000211D2"/>
    <w:rsid w:val="000214DE"/>
    <w:rsid w:val="00021827"/>
    <w:rsid w:val="0002185C"/>
    <w:rsid w:val="0002192C"/>
    <w:rsid w:val="0002213D"/>
    <w:rsid w:val="000224B7"/>
    <w:rsid w:val="00022535"/>
    <w:rsid w:val="00022BCB"/>
    <w:rsid w:val="00022C92"/>
    <w:rsid w:val="00022CC4"/>
    <w:rsid w:val="00022E3D"/>
    <w:rsid w:val="00022E7B"/>
    <w:rsid w:val="000234C3"/>
    <w:rsid w:val="00023994"/>
    <w:rsid w:val="000243D9"/>
    <w:rsid w:val="000246DA"/>
    <w:rsid w:val="0002473B"/>
    <w:rsid w:val="000253B5"/>
    <w:rsid w:val="00025704"/>
    <w:rsid w:val="000266D8"/>
    <w:rsid w:val="000267E1"/>
    <w:rsid w:val="00027199"/>
    <w:rsid w:val="000271C7"/>
    <w:rsid w:val="0002729B"/>
    <w:rsid w:val="000275B0"/>
    <w:rsid w:val="000277AA"/>
    <w:rsid w:val="00027BB7"/>
    <w:rsid w:val="00027C77"/>
    <w:rsid w:val="00027CA1"/>
    <w:rsid w:val="00027CB3"/>
    <w:rsid w:val="00027D27"/>
    <w:rsid w:val="0003022A"/>
    <w:rsid w:val="000302BD"/>
    <w:rsid w:val="00030818"/>
    <w:rsid w:val="0003085A"/>
    <w:rsid w:val="00030959"/>
    <w:rsid w:val="00030E2B"/>
    <w:rsid w:val="00031305"/>
    <w:rsid w:val="00031339"/>
    <w:rsid w:val="00031B1F"/>
    <w:rsid w:val="00031BD6"/>
    <w:rsid w:val="00031D26"/>
    <w:rsid w:val="00032202"/>
    <w:rsid w:val="000323D5"/>
    <w:rsid w:val="000325BF"/>
    <w:rsid w:val="00032F29"/>
    <w:rsid w:val="0003305B"/>
    <w:rsid w:val="0003338C"/>
    <w:rsid w:val="00033771"/>
    <w:rsid w:val="00033C09"/>
    <w:rsid w:val="00033F57"/>
    <w:rsid w:val="00034366"/>
    <w:rsid w:val="00034688"/>
    <w:rsid w:val="000347D0"/>
    <w:rsid w:val="00034840"/>
    <w:rsid w:val="00034EF0"/>
    <w:rsid w:val="0003575D"/>
    <w:rsid w:val="000359D5"/>
    <w:rsid w:val="00035CDC"/>
    <w:rsid w:val="00035EE6"/>
    <w:rsid w:val="00035F1A"/>
    <w:rsid w:val="00035FFF"/>
    <w:rsid w:val="000361B7"/>
    <w:rsid w:val="000363FC"/>
    <w:rsid w:val="000366FB"/>
    <w:rsid w:val="0003672E"/>
    <w:rsid w:val="000367B9"/>
    <w:rsid w:val="00036A31"/>
    <w:rsid w:val="00036E15"/>
    <w:rsid w:val="00036EC9"/>
    <w:rsid w:val="000370C2"/>
    <w:rsid w:val="00037309"/>
    <w:rsid w:val="000373DC"/>
    <w:rsid w:val="000375DE"/>
    <w:rsid w:val="00037B31"/>
    <w:rsid w:val="00037B47"/>
    <w:rsid w:val="00037C99"/>
    <w:rsid w:val="00037DF9"/>
    <w:rsid w:val="0004008E"/>
    <w:rsid w:val="00040093"/>
    <w:rsid w:val="00040508"/>
    <w:rsid w:val="00040EB2"/>
    <w:rsid w:val="00040EE2"/>
    <w:rsid w:val="00041174"/>
    <w:rsid w:val="000412FC"/>
    <w:rsid w:val="00041340"/>
    <w:rsid w:val="000414CE"/>
    <w:rsid w:val="00041722"/>
    <w:rsid w:val="00041BA6"/>
    <w:rsid w:val="00041C6D"/>
    <w:rsid w:val="00041CF7"/>
    <w:rsid w:val="00041DB8"/>
    <w:rsid w:val="00041EB6"/>
    <w:rsid w:val="00041F34"/>
    <w:rsid w:val="00041F36"/>
    <w:rsid w:val="000427BB"/>
    <w:rsid w:val="00043209"/>
    <w:rsid w:val="0004366D"/>
    <w:rsid w:val="00043796"/>
    <w:rsid w:val="00043923"/>
    <w:rsid w:val="0004400C"/>
    <w:rsid w:val="0004422C"/>
    <w:rsid w:val="00044294"/>
    <w:rsid w:val="0004463E"/>
    <w:rsid w:val="00044A92"/>
    <w:rsid w:val="00044EC0"/>
    <w:rsid w:val="000452BD"/>
    <w:rsid w:val="00045510"/>
    <w:rsid w:val="00045593"/>
    <w:rsid w:val="0004578F"/>
    <w:rsid w:val="00045891"/>
    <w:rsid w:val="00045910"/>
    <w:rsid w:val="00045EA1"/>
    <w:rsid w:val="0004616A"/>
    <w:rsid w:val="00046561"/>
    <w:rsid w:val="00046578"/>
    <w:rsid w:val="00046B2F"/>
    <w:rsid w:val="00046E98"/>
    <w:rsid w:val="00046F35"/>
    <w:rsid w:val="00047132"/>
    <w:rsid w:val="00047323"/>
    <w:rsid w:val="00047553"/>
    <w:rsid w:val="000475C2"/>
    <w:rsid w:val="00047986"/>
    <w:rsid w:val="00050D28"/>
    <w:rsid w:val="0005161D"/>
    <w:rsid w:val="00051AD7"/>
    <w:rsid w:val="00051E6C"/>
    <w:rsid w:val="00051F1D"/>
    <w:rsid w:val="00052464"/>
    <w:rsid w:val="0005251F"/>
    <w:rsid w:val="0005258B"/>
    <w:rsid w:val="00052D5C"/>
    <w:rsid w:val="00053B86"/>
    <w:rsid w:val="00053D1A"/>
    <w:rsid w:val="00053E3F"/>
    <w:rsid w:val="00054306"/>
    <w:rsid w:val="00054668"/>
    <w:rsid w:val="00054F37"/>
    <w:rsid w:val="000552DB"/>
    <w:rsid w:val="00055D0C"/>
    <w:rsid w:val="00055DB3"/>
    <w:rsid w:val="00055E60"/>
    <w:rsid w:val="00055F96"/>
    <w:rsid w:val="000560F4"/>
    <w:rsid w:val="00057150"/>
    <w:rsid w:val="0005725E"/>
    <w:rsid w:val="00057487"/>
    <w:rsid w:val="000603CB"/>
    <w:rsid w:val="00060F89"/>
    <w:rsid w:val="00061078"/>
    <w:rsid w:val="00061157"/>
    <w:rsid w:val="000616DB"/>
    <w:rsid w:val="0006190E"/>
    <w:rsid w:val="00062540"/>
    <w:rsid w:val="0006279C"/>
    <w:rsid w:val="0006353E"/>
    <w:rsid w:val="000635D9"/>
    <w:rsid w:val="00063E3B"/>
    <w:rsid w:val="00064073"/>
    <w:rsid w:val="00064440"/>
    <w:rsid w:val="0006470B"/>
    <w:rsid w:val="000648B9"/>
    <w:rsid w:val="000649E7"/>
    <w:rsid w:val="00064D3D"/>
    <w:rsid w:val="00064F47"/>
    <w:rsid w:val="0006534C"/>
    <w:rsid w:val="000653CA"/>
    <w:rsid w:val="00066153"/>
    <w:rsid w:val="00066287"/>
    <w:rsid w:val="00066365"/>
    <w:rsid w:val="0006678D"/>
    <w:rsid w:val="0006680E"/>
    <w:rsid w:val="00066D5B"/>
    <w:rsid w:val="00066DE3"/>
    <w:rsid w:val="0006709E"/>
    <w:rsid w:val="00067131"/>
    <w:rsid w:val="00067233"/>
    <w:rsid w:val="0006733B"/>
    <w:rsid w:val="000673EF"/>
    <w:rsid w:val="0006757B"/>
    <w:rsid w:val="00067775"/>
    <w:rsid w:val="00067B54"/>
    <w:rsid w:val="00067B82"/>
    <w:rsid w:val="00067CF2"/>
    <w:rsid w:val="0007007B"/>
    <w:rsid w:val="00070116"/>
    <w:rsid w:val="000705D4"/>
    <w:rsid w:val="00070D04"/>
    <w:rsid w:val="000717E6"/>
    <w:rsid w:val="00071B3F"/>
    <w:rsid w:val="00071B65"/>
    <w:rsid w:val="00072402"/>
    <w:rsid w:val="000726C6"/>
    <w:rsid w:val="00072995"/>
    <w:rsid w:val="00072A6F"/>
    <w:rsid w:val="00072D26"/>
    <w:rsid w:val="00073562"/>
    <w:rsid w:val="000738AD"/>
    <w:rsid w:val="000738C3"/>
    <w:rsid w:val="000747D0"/>
    <w:rsid w:val="000748D6"/>
    <w:rsid w:val="00074C8B"/>
    <w:rsid w:val="00074CC1"/>
    <w:rsid w:val="0007561D"/>
    <w:rsid w:val="000756C0"/>
    <w:rsid w:val="00075B47"/>
    <w:rsid w:val="00075B9D"/>
    <w:rsid w:val="00075EBA"/>
    <w:rsid w:val="000763B9"/>
    <w:rsid w:val="0007695B"/>
    <w:rsid w:val="00076B7E"/>
    <w:rsid w:val="00076F81"/>
    <w:rsid w:val="000770F2"/>
    <w:rsid w:val="0007710A"/>
    <w:rsid w:val="00077142"/>
    <w:rsid w:val="00077B69"/>
    <w:rsid w:val="00077DBF"/>
    <w:rsid w:val="00077DFB"/>
    <w:rsid w:val="00077FD5"/>
    <w:rsid w:val="00080756"/>
    <w:rsid w:val="000808BB"/>
    <w:rsid w:val="00080C91"/>
    <w:rsid w:val="00080D2F"/>
    <w:rsid w:val="00080E7D"/>
    <w:rsid w:val="000812AE"/>
    <w:rsid w:val="00081407"/>
    <w:rsid w:val="000819E3"/>
    <w:rsid w:val="00081BA0"/>
    <w:rsid w:val="00081F58"/>
    <w:rsid w:val="00082018"/>
    <w:rsid w:val="000820D2"/>
    <w:rsid w:val="0008230A"/>
    <w:rsid w:val="00082824"/>
    <w:rsid w:val="000831E6"/>
    <w:rsid w:val="000832A2"/>
    <w:rsid w:val="00083448"/>
    <w:rsid w:val="00083530"/>
    <w:rsid w:val="000842B2"/>
    <w:rsid w:val="00084911"/>
    <w:rsid w:val="00084954"/>
    <w:rsid w:val="000849AE"/>
    <w:rsid w:val="00084CA0"/>
    <w:rsid w:val="00084FB3"/>
    <w:rsid w:val="000853E8"/>
    <w:rsid w:val="00085631"/>
    <w:rsid w:val="0008580D"/>
    <w:rsid w:val="00085883"/>
    <w:rsid w:val="00085ED0"/>
    <w:rsid w:val="00086126"/>
    <w:rsid w:val="00086433"/>
    <w:rsid w:val="000865ED"/>
    <w:rsid w:val="0008660A"/>
    <w:rsid w:val="000869B6"/>
    <w:rsid w:val="00086AB2"/>
    <w:rsid w:val="000879DB"/>
    <w:rsid w:val="00087EDD"/>
    <w:rsid w:val="0009020C"/>
    <w:rsid w:val="000906DD"/>
    <w:rsid w:val="00090971"/>
    <w:rsid w:val="00090D0A"/>
    <w:rsid w:val="00090ECD"/>
    <w:rsid w:val="000912F8"/>
    <w:rsid w:val="00091587"/>
    <w:rsid w:val="0009160E"/>
    <w:rsid w:val="000917D0"/>
    <w:rsid w:val="0009182B"/>
    <w:rsid w:val="00092594"/>
    <w:rsid w:val="0009264D"/>
    <w:rsid w:val="0009275E"/>
    <w:rsid w:val="00092BB6"/>
    <w:rsid w:val="00092FCD"/>
    <w:rsid w:val="00093056"/>
    <w:rsid w:val="00093253"/>
    <w:rsid w:val="00093379"/>
    <w:rsid w:val="0009350D"/>
    <w:rsid w:val="00093E26"/>
    <w:rsid w:val="000943B8"/>
    <w:rsid w:val="00094403"/>
    <w:rsid w:val="00094A3D"/>
    <w:rsid w:val="00094AC0"/>
    <w:rsid w:val="00095628"/>
    <w:rsid w:val="00095FDF"/>
    <w:rsid w:val="0009626A"/>
    <w:rsid w:val="000963CC"/>
    <w:rsid w:val="000966C9"/>
    <w:rsid w:val="000966F8"/>
    <w:rsid w:val="0009676A"/>
    <w:rsid w:val="000969B0"/>
    <w:rsid w:val="00096B6B"/>
    <w:rsid w:val="0009705F"/>
    <w:rsid w:val="00097276"/>
    <w:rsid w:val="000972E6"/>
    <w:rsid w:val="00097324"/>
    <w:rsid w:val="0009735B"/>
    <w:rsid w:val="0009743A"/>
    <w:rsid w:val="00097718"/>
    <w:rsid w:val="00097A16"/>
    <w:rsid w:val="00097C2C"/>
    <w:rsid w:val="000A02C1"/>
    <w:rsid w:val="000A133C"/>
    <w:rsid w:val="000A1453"/>
    <w:rsid w:val="000A14A9"/>
    <w:rsid w:val="000A1736"/>
    <w:rsid w:val="000A173E"/>
    <w:rsid w:val="000A1F81"/>
    <w:rsid w:val="000A231F"/>
    <w:rsid w:val="000A2564"/>
    <w:rsid w:val="000A272A"/>
    <w:rsid w:val="000A2CA2"/>
    <w:rsid w:val="000A3321"/>
    <w:rsid w:val="000A35C9"/>
    <w:rsid w:val="000A361B"/>
    <w:rsid w:val="000A38AE"/>
    <w:rsid w:val="000A4695"/>
    <w:rsid w:val="000A4846"/>
    <w:rsid w:val="000A4C9F"/>
    <w:rsid w:val="000A4D51"/>
    <w:rsid w:val="000A4EA9"/>
    <w:rsid w:val="000A5226"/>
    <w:rsid w:val="000A625B"/>
    <w:rsid w:val="000A6448"/>
    <w:rsid w:val="000A73EF"/>
    <w:rsid w:val="000A74FD"/>
    <w:rsid w:val="000A7A49"/>
    <w:rsid w:val="000B0A4F"/>
    <w:rsid w:val="000B0B6C"/>
    <w:rsid w:val="000B0CEF"/>
    <w:rsid w:val="000B15E2"/>
    <w:rsid w:val="000B1F8D"/>
    <w:rsid w:val="000B21CC"/>
    <w:rsid w:val="000B2228"/>
    <w:rsid w:val="000B26B0"/>
    <w:rsid w:val="000B270F"/>
    <w:rsid w:val="000B28AA"/>
    <w:rsid w:val="000B2C92"/>
    <w:rsid w:val="000B2DBB"/>
    <w:rsid w:val="000B307C"/>
    <w:rsid w:val="000B31F0"/>
    <w:rsid w:val="000B33EB"/>
    <w:rsid w:val="000B35C8"/>
    <w:rsid w:val="000B35CB"/>
    <w:rsid w:val="000B3937"/>
    <w:rsid w:val="000B3D77"/>
    <w:rsid w:val="000B42EA"/>
    <w:rsid w:val="000B4659"/>
    <w:rsid w:val="000B468A"/>
    <w:rsid w:val="000B46F0"/>
    <w:rsid w:val="000B481D"/>
    <w:rsid w:val="000B4945"/>
    <w:rsid w:val="000B4E2A"/>
    <w:rsid w:val="000B5565"/>
    <w:rsid w:val="000B5707"/>
    <w:rsid w:val="000B58FD"/>
    <w:rsid w:val="000B5A82"/>
    <w:rsid w:val="000B5E99"/>
    <w:rsid w:val="000B6518"/>
    <w:rsid w:val="000B68F7"/>
    <w:rsid w:val="000B6AFD"/>
    <w:rsid w:val="000B6E5B"/>
    <w:rsid w:val="000B76E3"/>
    <w:rsid w:val="000B77DB"/>
    <w:rsid w:val="000B792B"/>
    <w:rsid w:val="000C058B"/>
    <w:rsid w:val="000C05AD"/>
    <w:rsid w:val="000C066A"/>
    <w:rsid w:val="000C0BE0"/>
    <w:rsid w:val="000C0ED4"/>
    <w:rsid w:val="000C0F8F"/>
    <w:rsid w:val="000C10D9"/>
    <w:rsid w:val="000C11F1"/>
    <w:rsid w:val="000C124D"/>
    <w:rsid w:val="000C134C"/>
    <w:rsid w:val="000C15A9"/>
    <w:rsid w:val="000C1701"/>
    <w:rsid w:val="000C1CB3"/>
    <w:rsid w:val="000C281A"/>
    <w:rsid w:val="000C28D7"/>
    <w:rsid w:val="000C367C"/>
    <w:rsid w:val="000C40C1"/>
    <w:rsid w:val="000C47AB"/>
    <w:rsid w:val="000C4A53"/>
    <w:rsid w:val="000C4B9F"/>
    <w:rsid w:val="000C4EF6"/>
    <w:rsid w:val="000C4FB7"/>
    <w:rsid w:val="000C55D3"/>
    <w:rsid w:val="000C569E"/>
    <w:rsid w:val="000C5A9F"/>
    <w:rsid w:val="000C6076"/>
    <w:rsid w:val="000C60D1"/>
    <w:rsid w:val="000C60ED"/>
    <w:rsid w:val="000C6345"/>
    <w:rsid w:val="000C68FE"/>
    <w:rsid w:val="000C6BB3"/>
    <w:rsid w:val="000C72E6"/>
    <w:rsid w:val="000C734A"/>
    <w:rsid w:val="000D0AA1"/>
    <w:rsid w:val="000D0C62"/>
    <w:rsid w:val="000D0E5A"/>
    <w:rsid w:val="000D11B3"/>
    <w:rsid w:val="000D173E"/>
    <w:rsid w:val="000D177E"/>
    <w:rsid w:val="000D1816"/>
    <w:rsid w:val="000D1AF2"/>
    <w:rsid w:val="000D3BEF"/>
    <w:rsid w:val="000D3EFD"/>
    <w:rsid w:val="000D444F"/>
    <w:rsid w:val="000D4654"/>
    <w:rsid w:val="000D49D7"/>
    <w:rsid w:val="000D4CDE"/>
    <w:rsid w:val="000D4D8D"/>
    <w:rsid w:val="000D4E48"/>
    <w:rsid w:val="000D527B"/>
    <w:rsid w:val="000D57A0"/>
    <w:rsid w:val="000D5CDC"/>
    <w:rsid w:val="000D602C"/>
    <w:rsid w:val="000D61E5"/>
    <w:rsid w:val="000D7639"/>
    <w:rsid w:val="000D7F2A"/>
    <w:rsid w:val="000D7F69"/>
    <w:rsid w:val="000E0263"/>
    <w:rsid w:val="000E03DD"/>
    <w:rsid w:val="000E0451"/>
    <w:rsid w:val="000E0AAF"/>
    <w:rsid w:val="000E1056"/>
    <w:rsid w:val="000E1132"/>
    <w:rsid w:val="000E1411"/>
    <w:rsid w:val="000E1799"/>
    <w:rsid w:val="000E191C"/>
    <w:rsid w:val="000E1BE4"/>
    <w:rsid w:val="000E1BF9"/>
    <w:rsid w:val="000E1D52"/>
    <w:rsid w:val="000E232D"/>
    <w:rsid w:val="000E242A"/>
    <w:rsid w:val="000E2E6A"/>
    <w:rsid w:val="000E33A5"/>
    <w:rsid w:val="000E345A"/>
    <w:rsid w:val="000E3F61"/>
    <w:rsid w:val="000E4147"/>
    <w:rsid w:val="000E4165"/>
    <w:rsid w:val="000E48F0"/>
    <w:rsid w:val="000E4953"/>
    <w:rsid w:val="000E4DEA"/>
    <w:rsid w:val="000E4E14"/>
    <w:rsid w:val="000E4E25"/>
    <w:rsid w:val="000E4F47"/>
    <w:rsid w:val="000E4FAF"/>
    <w:rsid w:val="000E5164"/>
    <w:rsid w:val="000E524A"/>
    <w:rsid w:val="000E5314"/>
    <w:rsid w:val="000E5AA4"/>
    <w:rsid w:val="000E5B90"/>
    <w:rsid w:val="000E5DB5"/>
    <w:rsid w:val="000E5E3C"/>
    <w:rsid w:val="000E5ED9"/>
    <w:rsid w:val="000E5F9A"/>
    <w:rsid w:val="000E5FF4"/>
    <w:rsid w:val="000E6181"/>
    <w:rsid w:val="000E61B7"/>
    <w:rsid w:val="000E6343"/>
    <w:rsid w:val="000E6374"/>
    <w:rsid w:val="000E6958"/>
    <w:rsid w:val="000E6BA5"/>
    <w:rsid w:val="000E6C3E"/>
    <w:rsid w:val="000E7483"/>
    <w:rsid w:val="000E7508"/>
    <w:rsid w:val="000E79EC"/>
    <w:rsid w:val="000E79FF"/>
    <w:rsid w:val="000E7AA7"/>
    <w:rsid w:val="000F07A3"/>
    <w:rsid w:val="000F07C5"/>
    <w:rsid w:val="000F08F1"/>
    <w:rsid w:val="000F0EA4"/>
    <w:rsid w:val="000F1098"/>
    <w:rsid w:val="000F120D"/>
    <w:rsid w:val="000F13AD"/>
    <w:rsid w:val="000F17D8"/>
    <w:rsid w:val="000F1940"/>
    <w:rsid w:val="000F1C9E"/>
    <w:rsid w:val="000F230C"/>
    <w:rsid w:val="000F2487"/>
    <w:rsid w:val="000F25B1"/>
    <w:rsid w:val="000F2707"/>
    <w:rsid w:val="000F27C9"/>
    <w:rsid w:val="000F2EBA"/>
    <w:rsid w:val="000F307B"/>
    <w:rsid w:val="000F308A"/>
    <w:rsid w:val="000F30E0"/>
    <w:rsid w:val="000F33EF"/>
    <w:rsid w:val="000F3488"/>
    <w:rsid w:val="000F3717"/>
    <w:rsid w:val="000F3ACF"/>
    <w:rsid w:val="000F3C64"/>
    <w:rsid w:val="000F408B"/>
    <w:rsid w:val="000F4346"/>
    <w:rsid w:val="000F4411"/>
    <w:rsid w:val="000F58BC"/>
    <w:rsid w:val="000F5960"/>
    <w:rsid w:val="000F59E5"/>
    <w:rsid w:val="000F5BC1"/>
    <w:rsid w:val="000F5F14"/>
    <w:rsid w:val="000F6206"/>
    <w:rsid w:val="000F635A"/>
    <w:rsid w:val="000F6569"/>
    <w:rsid w:val="000F65E2"/>
    <w:rsid w:val="000F65F7"/>
    <w:rsid w:val="000F6CC2"/>
    <w:rsid w:val="000F70FC"/>
    <w:rsid w:val="000F71AC"/>
    <w:rsid w:val="000F74CA"/>
    <w:rsid w:val="000F75B2"/>
    <w:rsid w:val="000F78AE"/>
    <w:rsid w:val="000F7902"/>
    <w:rsid w:val="000F7955"/>
    <w:rsid w:val="000F7B12"/>
    <w:rsid w:val="000F7B4B"/>
    <w:rsid w:val="000F7D40"/>
    <w:rsid w:val="00100086"/>
    <w:rsid w:val="0010015B"/>
    <w:rsid w:val="001008B3"/>
    <w:rsid w:val="00100F29"/>
    <w:rsid w:val="00101019"/>
    <w:rsid w:val="001013EA"/>
    <w:rsid w:val="00101800"/>
    <w:rsid w:val="001018F4"/>
    <w:rsid w:val="001019E6"/>
    <w:rsid w:val="00101DB6"/>
    <w:rsid w:val="00102155"/>
    <w:rsid w:val="00102358"/>
    <w:rsid w:val="001027A0"/>
    <w:rsid w:val="0010291A"/>
    <w:rsid w:val="00102B4D"/>
    <w:rsid w:val="00102C7B"/>
    <w:rsid w:val="00102D2B"/>
    <w:rsid w:val="00102E47"/>
    <w:rsid w:val="00102E88"/>
    <w:rsid w:val="00103008"/>
    <w:rsid w:val="00103136"/>
    <w:rsid w:val="001031BA"/>
    <w:rsid w:val="00103289"/>
    <w:rsid w:val="00103319"/>
    <w:rsid w:val="0010374A"/>
    <w:rsid w:val="00103940"/>
    <w:rsid w:val="001039CE"/>
    <w:rsid w:val="00103E61"/>
    <w:rsid w:val="00104099"/>
    <w:rsid w:val="001044A2"/>
    <w:rsid w:val="001044A3"/>
    <w:rsid w:val="00104A40"/>
    <w:rsid w:val="00104BFD"/>
    <w:rsid w:val="00105017"/>
    <w:rsid w:val="0010566F"/>
    <w:rsid w:val="0010573B"/>
    <w:rsid w:val="0010575B"/>
    <w:rsid w:val="00105BEE"/>
    <w:rsid w:val="00105DF9"/>
    <w:rsid w:val="00105EB1"/>
    <w:rsid w:val="00106269"/>
    <w:rsid w:val="00106C1A"/>
    <w:rsid w:val="001073F3"/>
    <w:rsid w:val="00107617"/>
    <w:rsid w:val="00107B06"/>
    <w:rsid w:val="00110611"/>
    <w:rsid w:val="00110987"/>
    <w:rsid w:val="00110AD4"/>
    <w:rsid w:val="00110B35"/>
    <w:rsid w:val="00110BFC"/>
    <w:rsid w:val="00110EE0"/>
    <w:rsid w:val="001113F1"/>
    <w:rsid w:val="00111532"/>
    <w:rsid w:val="001116E8"/>
    <w:rsid w:val="00111730"/>
    <w:rsid w:val="001117C8"/>
    <w:rsid w:val="00111920"/>
    <w:rsid w:val="00111D16"/>
    <w:rsid w:val="0011229D"/>
    <w:rsid w:val="00112491"/>
    <w:rsid w:val="0011286B"/>
    <w:rsid w:val="00112884"/>
    <w:rsid w:val="00112902"/>
    <w:rsid w:val="00112A0D"/>
    <w:rsid w:val="00112A6D"/>
    <w:rsid w:val="00112B5A"/>
    <w:rsid w:val="00112BF9"/>
    <w:rsid w:val="0011362B"/>
    <w:rsid w:val="00113A78"/>
    <w:rsid w:val="00113D9C"/>
    <w:rsid w:val="001142A8"/>
    <w:rsid w:val="00114BBA"/>
    <w:rsid w:val="00114F2F"/>
    <w:rsid w:val="001152CB"/>
    <w:rsid w:val="0011558B"/>
    <w:rsid w:val="00115657"/>
    <w:rsid w:val="00115E46"/>
    <w:rsid w:val="001165C2"/>
    <w:rsid w:val="00116AC0"/>
    <w:rsid w:val="00116C8B"/>
    <w:rsid w:val="00116EE4"/>
    <w:rsid w:val="00117349"/>
    <w:rsid w:val="00120533"/>
    <w:rsid w:val="00120953"/>
    <w:rsid w:val="00120B66"/>
    <w:rsid w:val="00120BB5"/>
    <w:rsid w:val="00120BB6"/>
    <w:rsid w:val="00120BFB"/>
    <w:rsid w:val="00120EA1"/>
    <w:rsid w:val="001215E3"/>
    <w:rsid w:val="00121DF5"/>
    <w:rsid w:val="00122011"/>
    <w:rsid w:val="001221BB"/>
    <w:rsid w:val="001223EC"/>
    <w:rsid w:val="00122DB0"/>
    <w:rsid w:val="00122DFC"/>
    <w:rsid w:val="00122F1A"/>
    <w:rsid w:val="001232A4"/>
    <w:rsid w:val="001234DC"/>
    <w:rsid w:val="00123530"/>
    <w:rsid w:val="0012357E"/>
    <w:rsid w:val="0012363A"/>
    <w:rsid w:val="00123832"/>
    <w:rsid w:val="0012384D"/>
    <w:rsid w:val="00123A20"/>
    <w:rsid w:val="00124440"/>
    <w:rsid w:val="0012450F"/>
    <w:rsid w:val="0012470E"/>
    <w:rsid w:val="0012491D"/>
    <w:rsid w:val="00124BCA"/>
    <w:rsid w:val="00124EB2"/>
    <w:rsid w:val="001253EE"/>
    <w:rsid w:val="00125B44"/>
    <w:rsid w:val="00125C02"/>
    <w:rsid w:val="00125D95"/>
    <w:rsid w:val="00125F12"/>
    <w:rsid w:val="00126055"/>
    <w:rsid w:val="001261B3"/>
    <w:rsid w:val="0012684B"/>
    <w:rsid w:val="001269DA"/>
    <w:rsid w:val="00126AFD"/>
    <w:rsid w:val="00126BFA"/>
    <w:rsid w:val="0012722E"/>
    <w:rsid w:val="0012727D"/>
    <w:rsid w:val="0012752D"/>
    <w:rsid w:val="0012785F"/>
    <w:rsid w:val="00127A2D"/>
    <w:rsid w:val="00127B2F"/>
    <w:rsid w:val="00127F23"/>
    <w:rsid w:val="001302E6"/>
    <w:rsid w:val="001304B5"/>
    <w:rsid w:val="00130869"/>
    <w:rsid w:val="00130913"/>
    <w:rsid w:val="0013091F"/>
    <w:rsid w:val="00130BB1"/>
    <w:rsid w:val="00130C03"/>
    <w:rsid w:val="00130C3D"/>
    <w:rsid w:val="00130E02"/>
    <w:rsid w:val="00130E08"/>
    <w:rsid w:val="0013150D"/>
    <w:rsid w:val="001318CD"/>
    <w:rsid w:val="001318D6"/>
    <w:rsid w:val="00131A22"/>
    <w:rsid w:val="00131B46"/>
    <w:rsid w:val="00131C1B"/>
    <w:rsid w:val="00131F49"/>
    <w:rsid w:val="00132148"/>
    <w:rsid w:val="0013230E"/>
    <w:rsid w:val="00132317"/>
    <w:rsid w:val="00132525"/>
    <w:rsid w:val="0013258E"/>
    <w:rsid w:val="00132C17"/>
    <w:rsid w:val="00132D8C"/>
    <w:rsid w:val="00132F7C"/>
    <w:rsid w:val="001331EE"/>
    <w:rsid w:val="00133510"/>
    <w:rsid w:val="001335A2"/>
    <w:rsid w:val="00133AAA"/>
    <w:rsid w:val="001341C2"/>
    <w:rsid w:val="0013437A"/>
    <w:rsid w:val="00134423"/>
    <w:rsid w:val="00134D69"/>
    <w:rsid w:val="00134D96"/>
    <w:rsid w:val="001357A0"/>
    <w:rsid w:val="001358BD"/>
    <w:rsid w:val="001360B4"/>
    <w:rsid w:val="001364DE"/>
    <w:rsid w:val="00136B19"/>
    <w:rsid w:val="0013746E"/>
    <w:rsid w:val="00137DC6"/>
    <w:rsid w:val="00140018"/>
    <w:rsid w:val="00140461"/>
    <w:rsid w:val="00140565"/>
    <w:rsid w:val="001406E7"/>
    <w:rsid w:val="00140B4C"/>
    <w:rsid w:val="00140D72"/>
    <w:rsid w:val="00140F93"/>
    <w:rsid w:val="00141034"/>
    <w:rsid w:val="001410BD"/>
    <w:rsid w:val="00141147"/>
    <w:rsid w:val="001417FC"/>
    <w:rsid w:val="0014187F"/>
    <w:rsid w:val="00141AD2"/>
    <w:rsid w:val="00141D17"/>
    <w:rsid w:val="00141D8B"/>
    <w:rsid w:val="0014210F"/>
    <w:rsid w:val="0014227B"/>
    <w:rsid w:val="001428C6"/>
    <w:rsid w:val="00142C73"/>
    <w:rsid w:val="001431CE"/>
    <w:rsid w:val="00143204"/>
    <w:rsid w:val="0014390B"/>
    <w:rsid w:val="00143ACF"/>
    <w:rsid w:val="00143C37"/>
    <w:rsid w:val="001441A4"/>
    <w:rsid w:val="001444AC"/>
    <w:rsid w:val="001445F9"/>
    <w:rsid w:val="00145407"/>
    <w:rsid w:val="001454E8"/>
    <w:rsid w:val="001458BE"/>
    <w:rsid w:val="00145BA0"/>
    <w:rsid w:val="00145DDE"/>
    <w:rsid w:val="0014635A"/>
    <w:rsid w:val="00146544"/>
    <w:rsid w:val="0014686F"/>
    <w:rsid w:val="00146A6B"/>
    <w:rsid w:val="00146DA0"/>
    <w:rsid w:val="00147183"/>
    <w:rsid w:val="0014735A"/>
    <w:rsid w:val="00147566"/>
    <w:rsid w:val="00147CF3"/>
    <w:rsid w:val="00147EE8"/>
    <w:rsid w:val="00147F5C"/>
    <w:rsid w:val="0015010D"/>
    <w:rsid w:val="0015012E"/>
    <w:rsid w:val="0015034A"/>
    <w:rsid w:val="00150398"/>
    <w:rsid w:val="00150846"/>
    <w:rsid w:val="00150978"/>
    <w:rsid w:val="001509AE"/>
    <w:rsid w:val="00150DEF"/>
    <w:rsid w:val="00151056"/>
    <w:rsid w:val="00151592"/>
    <w:rsid w:val="0015198C"/>
    <w:rsid w:val="00151BA6"/>
    <w:rsid w:val="00151CB3"/>
    <w:rsid w:val="00151DFE"/>
    <w:rsid w:val="001520C1"/>
    <w:rsid w:val="001522A3"/>
    <w:rsid w:val="001523CB"/>
    <w:rsid w:val="00152589"/>
    <w:rsid w:val="00152E91"/>
    <w:rsid w:val="00152F74"/>
    <w:rsid w:val="00153187"/>
    <w:rsid w:val="001531FB"/>
    <w:rsid w:val="0015367E"/>
    <w:rsid w:val="001537BD"/>
    <w:rsid w:val="00153806"/>
    <w:rsid w:val="00153CB6"/>
    <w:rsid w:val="00153E50"/>
    <w:rsid w:val="0015471F"/>
    <w:rsid w:val="0015477E"/>
    <w:rsid w:val="0015481E"/>
    <w:rsid w:val="00154B89"/>
    <w:rsid w:val="00154C53"/>
    <w:rsid w:val="00154CF3"/>
    <w:rsid w:val="00154EFA"/>
    <w:rsid w:val="00154FCB"/>
    <w:rsid w:val="0015543B"/>
    <w:rsid w:val="001555A4"/>
    <w:rsid w:val="001555E2"/>
    <w:rsid w:val="00155B2B"/>
    <w:rsid w:val="00155C4A"/>
    <w:rsid w:val="00155F72"/>
    <w:rsid w:val="00155FB7"/>
    <w:rsid w:val="001564B2"/>
    <w:rsid w:val="001568EE"/>
    <w:rsid w:val="00156AF8"/>
    <w:rsid w:val="00156BA4"/>
    <w:rsid w:val="00156FD7"/>
    <w:rsid w:val="00157504"/>
    <w:rsid w:val="00157AD6"/>
    <w:rsid w:val="001600BD"/>
    <w:rsid w:val="001600EE"/>
    <w:rsid w:val="00160C44"/>
    <w:rsid w:val="00160E66"/>
    <w:rsid w:val="00161073"/>
    <w:rsid w:val="00161082"/>
    <w:rsid w:val="00161C28"/>
    <w:rsid w:val="0016211C"/>
    <w:rsid w:val="00162DF9"/>
    <w:rsid w:val="00163636"/>
    <w:rsid w:val="00163B88"/>
    <w:rsid w:val="00163D3B"/>
    <w:rsid w:val="00163DE9"/>
    <w:rsid w:val="001644C9"/>
    <w:rsid w:val="00164632"/>
    <w:rsid w:val="00164B55"/>
    <w:rsid w:val="00164B5D"/>
    <w:rsid w:val="00164FA7"/>
    <w:rsid w:val="0016531B"/>
    <w:rsid w:val="0016533A"/>
    <w:rsid w:val="00165472"/>
    <w:rsid w:val="0016548B"/>
    <w:rsid w:val="00165519"/>
    <w:rsid w:val="001658E8"/>
    <w:rsid w:val="00165D60"/>
    <w:rsid w:val="00165EA8"/>
    <w:rsid w:val="00166399"/>
    <w:rsid w:val="001665C4"/>
    <w:rsid w:val="001667E5"/>
    <w:rsid w:val="0016771D"/>
    <w:rsid w:val="00167927"/>
    <w:rsid w:val="00167A00"/>
    <w:rsid w:val="00167CB7"/>
    <w:rsid w:val="00167FF9"/>
    <w:rsid w:val="0017067F"/>
    <w:rsid w:val="00170DBC"/>
    <w:rsid w:val="001710AC"/>
    <w:rsid w:val="00171125"/>
    <w:rsid w:val="00171222"/>
    <w:rsid w:val="00171339"/>
    <w:rsid w:val="001716C1"/>
    <w:rsid w:val="00171A3B"/>
    <w:rsid w:val="00171A90"/>
    <w:rsid w:val="00171C54"/>
    <w:rsid w:val="00171CF0"/>
    <w:rsid w:val="00172020"/>
    <w:rsid w:val="001720BA"/>
    <w:rsid w:val="001720C3"/>
    <w:rsid w:val="00172538"/>
    <w:rsid w:val="00172747"/>
    <w:rsid w:val="001731C1"/>
    <w:rsid w:val="001734FB"/>
    <w:rsid w:val="00173655"/>
    <w:rsid w:val="00173759"/>
    <w:rsid w:val="00174F85"/>
    <w:rsid w:val="00175A11"/>
    <w:rsid w:val="00175A26"/>
    <w:rsid w:val="00175B89"/>
    <w:rsid w:val="0017612B"/>
    <w:rsid w:val="00176BE6"/>
    <w:rsid w:val="001772AD"/>
    <w:rsid w:val="001774F0"/>
    <w:rsid w:val="00180147"/>
    <w:rsid w:val="001803DE"/>
    <w:rsid w:val="00180700"/>
    <w:rsid w:val="0018099E"/>
    <w:rsid w:val="00180D4C"/>
    <w:rsid w:val="00180DAF"/>
    <w:rsid w:val="00181033"/>
    <w:rsid w:val="00181600"/>
    <w:rsid w:val="00181AAD"/>
    <w:rsid w:val="001821A3"/>
    <w:rsid w:val="0018225C"/>
    <w:rsid w:val="001823E8"/>
    <w:rsid w:val="0018269D"/>
    <w:rsid w:val="00182871"/>
    <w:rsid w:val="001831D6"/>
    <w:rsid w:val="001838F8"/>
    <w:rsid w:val="00183B77"/>
    <w:rsid w:val="001843C1"/>
    <w:rsid w:val="00184C67"/>
    <w:rsid w:val="00184D14"/>
    <w:rsid w:val="00184D2C"/>
    <w:rsid w:val="00184D37"/>
    <w:rsid w:val="00184DF7"/>
    <w:rsid w:val="00184E7D"/>
    <w:rsid w:val="00184EC6"/>
    <w:rsid w:val="00184F00"/>
    <w:rsid w:val="0018527C"/>
    <w:rsid w:val="00185428"/>
    <w:rsid w:val="00185658"/>
    <w:rsid w:val="001857F1"/>
    <w:rsid w:val="00185AA7"/>
    <w:rsid w:val="00185C0E"/>
    <w:rsid w:val="00185D42"/>
    <w:rsid w:val="001860E3"/>
    <w:rsid w:val="00186550"/>
    <w:rsid w:val="00186C4F"/>
    <w:rsid w:val="00186CE6"/>
    <w:rsid w:val="00186ECA"/>
    <w:rsid w:val="00187143"/>
    <w:rsid w:val="0018727C"/>
    <w:rsid w:val="001874F2"/>
    <w:rsid w:val="00187843"/>
    <w:rsid w:val="00187AD4"/>
    <w:rsid w:val="00187F44"/>
    <w:rsid w:val="00187F65"/>
    <w:rsid w:val="00190693"/>
    <w:rsid w:val="001908FB"/>
    <w:rsid w:val="001909E6"/>
    <w:rsid w:val="00190A8E"/>
    <w:rsid w:val="00190B55"/>
    <w:rsid w:val="00190E01"/>
    <w:rsid w:val="00190FE4"/>
    <w:rsid w:val="00191085"/>
    <w:rsid w:val="0019108A"/>
    <w:rsid w:val="001912D1"/>
    <w:rsid w:val="0019140D"/>
    <w:rsid w:val="001918B4"/>
    <w:rsid w:val="00191A37"/>
    <w:rsid w:val="00191E6A"/>
    <w:rsid w:val="00192159"/>
    <w:rsid w:val="00192FBE"/>
    <w:rsid w:val="001932A2"/>
    <w:rsid w:val="001939E6"/>
    <w:rsid w:val="00193D51"/>
    <w:rsid w:val="0019400C"/>
    <w:rsid w:val="001944C0"/>
    <w:rsid w:val="00194619"/>
    <w:rsid w:val="00195018"/>
    <w:rsid w:val="00195137"/>
    <w:rsid w:val="00195B5C"/>
    <w:rsid w:val="0019601D"/>
    <w:rsid w:val="0019631B"/>
    <w:rsid w:val="001966D2"/>
    <w:rsid w:val="00196D3F"/>
    <w:rsid w:val="001972C0"/>
    <w:rsid w:val="00197B78"/>
    <w:rsid w:val="00197F7F"/>
    <w:rsid w:val="001A0117"/>
    <w:rsid w:val="001A0346"/>
    <w:rsid w:val="001A0775"/>
    <w:rsid w:val="001A085E"/>
    <w:rsid w:val="001A093A"/>
    <w:rsid w:val="001A0AD6"/>
    <w:rsid w:val="001A13B2"/>
    <w:rsid w:val="001A148A"/>
    <w:rsid w:val="001A1869"/>
    <w:rsid w:val="001A19D7"/>
    <w:rsid w:val="001A1A64"/>
    <w:rsid w:val="001A1D08"/>
    <w:rsid w:val="001A1EC7"/>
    <w:rsid w:val="001A2082"/>
    <w:rsid w:val="001A20DA"/>
    <w:rsid w:val="001A2715"/>
    <w:rsid w:val="001A2C77"/>
    <w:rsid w:val="001A2D5F"/>
    <w:rsid w:val="001A3417"/>
    <w:rsid w:val="001A3467"/>
    <w:rsid w:val="001A387F"/>
    <w:rsid w:val="001A3936"/>
    <w:rsid w:val="001A47C9"/>
    <w:rsid w:val="001A4821"/>
    <w:rsid w:val="001A4938"/>
    <w:rsid w:val="001A54B5"/>
    <w:rsid w:val="001A5540"/>
    <w:rsid w:val="001A57E2"/>
    <w:rsid w:val="001A5903"/>
    <w:rsid w:val="001A59F9"/>
    <w:rsid w:val="001A6029"/>
    <w:rsid w:val="001A6C40"/>
    <w:rsid w:val="001A6F40"/>
    <w:rsid w:val="001A728D"/>
    <w:rsid w:val="001A7E8A"/>
    <w:rsid w:val="001B005A"/>
    <w:rsid w:val="001B06EF"/>
    <w:rsid w:val="001B0AD2"/>
    <w:rsid w:val="001B11EC"/>
    <w:rsid w:val="001B1601"/>
    <w:rsid w:val="001B16AF"/>
    <w:rsid w:val="001B1817"/>
    <w:rsid w:val="001B1B80"/>
    <w:rsid w:val="001B1C55"/>
    <w:rsid w:val="001B1FEB"/>
    <w:rsid w:val="001B20F7"/>
    <w:rsid w:val="001B2338"/>
    <w:rsid w:val="001B2360"/>
    <w:rsid w:val="001B23D7"/>
    <w:rsid w:val="001B24B7"/>
    <w:rsid w:val="001B2784"/>
    <w:rsid w:val="001B279D"/>
    <w:rsid w:val="001B2863"/>
    <w:rsid w:val="001B29E4"/>
    <w:rsid w:val="001B2A06"/>
    <w:rsid w:val="001B3269"/>
    <w:rsid w:val="001B3849"/>
    <w:rsid w:val="001B3873"/>
    <w:rsid w:val="001B39F8"/>
    <w:rsid w:val="001B3B1A"/>
    <w:rsid w:val="001B3B36"/>
    <w:rsid w:val="001B3E7C"/>
    <w:rsid w:val="001B41E7"/>
    <w:rsid w:val="001B43C9"/>
    <w:rsid w:val="001B4411"/>
    <w:rsid w:val="001B4531"/>
    <w:rsid w:val="001B4DE6"/>
    <w:rsid w:val="001B5029"/>
    <w:rsid w:val="001B53DC"/>
    <w:rsid w:val="001B5577"/>
    <w:rsid w:val="001B5579"/>
    <w:rsid w:val="001B5912"/>
    <w:rsid w:val="001B5C63"/>
    <w:rsid w:val="001B5E70"/>
    <w:rsid w:val="001B5EA5"/>
    <w:rsid w:val="001B655A"/>
    <w:rsid w:val="001B66CE"/>
    <w:rsid w:val="001B6D70"/>
    <w:rsid w:val="001B6DA5"/>
    <w:rsid w:val="001B6EBC"/>
    <w:rsid w:val="001B7222"/>
    <w:rsid w:val="001B75E8"/>
    <w:rsid w:val="001B7BBE"/>
    <w:rsid w:val="001C0001"/>
    <w:rsid w:val="001C042B"/>
    <w:rsid w:val="001C0BE0"/>
    <w:rsid w:val="001C0D19"/>
    <w:rsid w:val="001C16EA"/>
    <w:rsid w:val="001C1830"/>
    <w:rsid w:val="001C18F1"/>
    <w:rsid w:val="001C20D1"/>
    <w:rsid w:val="001C2219"/>
    <w:rsid w:val="001C23D9"/>
    <w:rsid w:val="001C2407"/>
    <w:rsid w:val="001C2634"/>
    <w:rsid w:val="001C272F"/>
    <w:rsid w:val="001C2763"/>
    <w:rsid w:val="001C29A2"/>
    <w:rsid w:val="001C2B27"/>
    <w:rsid w:val="001C2BDE"/>
    <w:rsid w:val="001C2CBC"/>
    <w:rsid w:val="001C2E92"/>
    <w:rsid w:val="001C3025"/>
    <w:rsid w:val="001C34DA"/>
    <w:rsid w:val="001C3616"/>
    <w:rsid w:val="001C36EE"/>
    <w:rsid w:val="001C37E7"/>
    <w:rsid w:val="001C3863"/>
    <w:rsid w:val="001C3DBA"/>
    <w:rsid w:val="001C402B"/>
    <w:rsid w:val="001C4432"/>
    <w:rsid w:val="001C4456"/>
    <w:rsid w:val="001C4FD7"/>
    <w:rsid w:val="001C5049"/>
    <w:rsid w:val="001C5C8F"/>
    <w:rsid w:val="001C5EDA"/>
    <w:rsid w:val="001C6414"/>
    <w:rsid w:val="001C684D"/>
    <w:rsid w:val="001C6C2B"/>
    <w:rsid w:val="001C6C5F"/>
    <w:rsid w:val="001C7297"/>
    <w:rsid w:val="001D088E"/>
    <w:rsid w:val="001D101A"/>
    <w:rsid w:val="001D1A46"/>
    <w:rsid w:val="001D1BE8"/>
    <w:rsid w:val="001D2ECA"/>
    <w:rsid w:val="001D30F6"/>
    <w:rsid w:val="001D3236"/>
    <w:rsid w:val="001D33C5"/>
    <w:rsid w:val="001D3447"/>
    <w:rsid w:val="001D37C8"/>
    <w:rsid w:val="001D38CD"/>
    <w:rsid w:val="001D3A3B"/>
    <w:rsid w:val="001D3A48"/>
    <w:rsid w:val="001D40AB"/>
    <w:rsid w:val="001D4328"/>
    <w:rsid w:val="001D46F4"/>
    <w:rsid w:val="001D47B1"/>
    <w:rsid w:val="001D4B89"/>
    <w:rsid w:val="001D4BBC"/>
    <w:rsid w:val="001D4F98"/>
    <w:rsid w:val="001D5099"/>
    <w:rsid w:val="001D638C"/>
    <w:rsid w:val="001D668B"/>
    <w:rsid w:val="001D67CE"/>
    <w:rsid w:val="001D726E"/>
    <w:rsid w:val="001D73A0"/>
    <w:rsid w:val="001D74EF"/>
    <w:rsid w:val="001D7838"/>
    <w:rsid w:val="001D794B"/>
    <w:rsid w:val="001D79BF"/>
    <w:rsid w:val="001D7D37"/>
    <w:rsid w:val="001D7EC0"/>
    <w:rsid w:val="001E04B3"/>
    <w:rsid w:val="001E0688"/>
    <w:rsid w:val="001E074C"/>
    <w:rsid w:val="001E1035"/>
    <w:rsid w:val="001E165E"/>
    <w:rsid w:val="001E1F0F"/>
    <w:rsid w:val="001E1F42"/>
    <w:rsid w:val="001E235D"/>
    <w:rsid w:val="001E2527"/>
    <w:rsid w:val="001E2F99"/>
    <w:rsid w:val="001E3017"/>
    <w:rsid w:val="001E38AD"/>
    <w:rsid w:val="001E3BDC"/>
    <w:rsid w:val="001E3C1F"/>
    <w:rsid w:val="001E3F2F"/>
    <w:rsid w:val="001E4A08"/>
    <w:rsid w:val="001E4ED1"/>
    <w:rsid w:val="001E52D0"/>
    <w:rsid w:val="001E5915"/>
    <w:rsid w:val="001E5BF1"/>
    <w:rsid w:val="001E5C71"/>
    <w:rsid w:val="001E5F81"/>
    <w:rsid w:val="001E60A1"/>
    <w:rsid w:val="001E6375"/>
    <w:rsid w:val="001E6C1D"/>
    <w:rsid w:val="001E6E9D"/>
    <w:rsid w:val="001E71E6"/>
    <w:rsid w:val="001E7722"/>
    <w:rsid w:val="001E7A28"/>
    <w:rsid w:val="001E7BA0"/>
    <w:rsid w:val="001E7D55"/>
    <w:rsid w:val="001E7FB6"/>
    <w:rsid w:val="001F0230"/>
    <w:rsid w:val="001F0428"/>
    <w:rsid w:val="001F05F6"/>
    <w:rsid w:val="001F097B"/>
    <w:rsid w:val="001F1730"/>
    <w:rsid w:val="001F173B"/>
    <w:rsid w:val="001F17A6"/>
    <w:rsid w:val="001F1CC4"/>
    <w:rsid w:val="001F22EA"/>
    <w:rsid w:val="001F23B2"/>
    <w:rsid w:val="001F24CD"/>
    <w:rsid w:val="001F2821"/>
    <w:rsid w:val="001F2E5B"/>
    <w:rsid w:val="001F31D3"/>
    <w:rsid w:val="001F3739"/>
    <w:rsid w:val="001F3909"/>
    <w:rsid w:val="001F3CF1"/>
    <w:rsid w:val="001F3F2B"/>
    <w:rsid w:val="001F403A"/>
    <w:rsid w:val="001F48A4"/>
    <w:rsid w:val="001F4BEE"/>
    <w:rsid w:val="001F60BF"/>
    <w:rsid w:val="001F62CB"/>
    <w:rsid w:val="001F6650"/>
    <w:rsid w:val="001F6E80"/>
    <w:rsid w:val="001F6EAA"/>
    <w:rsid w:val="001F6F82"/>
    <w:rsid w:val="001F7C98"/>
    <w:rsid w:val="001F7F63"/>
    <w:rsid w:val="0020017E"/>
    <w:rsid w:val="00200319"/>
    <w:rsid w:val="00200345"/>
    <w:rsid w:val="002010D7"/>
    <w:rsid w:val="00201166"/>
    <w:rsid w:val="002011BF"/>
    <w:rsid w:val="002015F1"/>
    <w:rsid w:val="00201A31"/>
    <w:rsid w:val="00201E66"/>
    <w:rsid w:val="00201F9C"/>
    <w:rsid w:val="00202209"/>
    <w:rsid w:val="002024D8"/>
    <w:rsid w:val="0020254C"/>
    <w:rsid w:val="002025CB"/>
    <w:rsid w:val="00202C0C"/>
    <w:rsid w:val="00202D78"/>
    <w:rsid w:val="00202F47"/>
    <w:rsid w:val="00203F42"/>
    <w:rsid w:val="00204293"/>
    <w:rsid w:val="0020459E"/>
    <w:rsid w:val="00204BC3"/>
    <w:rsid w:val="00204D89"/>
    <w:rsid w:val="00204E35"/>
    <w:rsid w:val="002055A3"/>
    <w:rsid w:val="00206A3E"/>
    <w:rsid w:val="00206B91"/>
    <w:rsid w:val="00206E2C"/>
    <w:rsid w:val="00207320"/>
    <w:rsid w:val="002074FB"/>
    <w:rsid w:val="0020758B"/>
    <w:rsid w:val="002077D2"/>
    <w:rsid w:val="0020781B"/>
    <w:rsid w:val="00207A6B"/>
    <w:rsid w:val="00210078"/>
    <w:rsid w:val="00210379"/>
    <w:rsid w:val="002104B3"/>
    <w:rsid w:val="002108AB"/>
    <w:rsid w:val="00210FCB"/>
    <w:rsid w:val="002113A7"/>
    <w:rsid w:val="0021158F"/>
    <w:rsid w:val="002118A1"/>
    <w:rsid w:val="00211B5B"/>
    <w:rsid w:val="0021241E"/>
    <w:rsid w:val="0021246F"/>
    <w:rsid w:val="0021287F"/>
    <w:rsid w:val="002129EA"/>
    <w:rsid w:val="00212C7D"/>
    <w:rsid w:val="00213556"/>
    <w:rsid w:val="002135D4"/>
    <w:rsid w:val="00213C4F"/>
    <w:rsid w:val="002147DE"/>
    <w:rsid w:val="00214C21"/>
    <w:rsid w:val="00214E44"/>
    <w:rsid w:val="0021524A"/>
    <w:rsid w:val="002155A0"/>
    <w:rsid w:val="00215733"/>
    <w:rsid w:val="00215D18"/>
    <w:rsid w:val="00215E54"/>
    <w:rsid w:val="00216052"/>
    <w:rsid w:val="0021614D"/>
    <w:rsid w:val="002162E0"/>
    <w:rsid w:val="00216A72"/>
    <w:rsid w:val="00216A9B"/>
    <w:rsid w:val="00216DC0"/>
    <w:rsid w:val="00217361"/>
    <w:rsid w:val="00217616"/>
    <w:rsid w:val="002176DB"/>
    <w:rsid w:val="00217DE3"/>
    <w:rsid w:val="00217DEF"/>
    <w:rsid w:val="00217E02"/>
    <w:rsid w:val="00217E40"/>
    <w:rsid w:val="00217EAE"/>
    <w:rsid w:val="00220341"/>
    <w:rsid w:val="002208EF"/>
    <w:rsid w:val="00221156"/>
    <w:rsid w:val="002218E1"/>
    <w:rsid w:val="00222161"/>
    <w:rsid w:val="002223B1"/>
    <w:rsid w:val="00222E47"/>
    <w:rsid w:val="00222F17"/>
    <w:rsid w:val="00223765"/>
    <w:rsid w:val="00223AE0"/>
    <w:rsid w:val="00223C1D"/>
    <w:rsid w:val="00224004"/>
    <w:rsid w:val="00224558"/>
    <w:rsid w:val="00224A5F"/>
    <w:rsid w:val="00224C00"/>
    <w:rsid w:val="00224DF6"/>
    <w:rsid w:val="00225069"/>
    <w:rsid w:val="002251F2"/>
    <w:rsid w:val="002252E8"/>
    <w:rsid w:val="0022532C"/>
    <w:rsid w:val="00225431"/>
    <w:rsid w:val="00225517"/>
    <w:rsid w:val="00225A5A"/>
    <w:rsid w:val="002264C5"/>
    <w:rsid w:val="00226AF7"/>
    <w:rsid w:val="00227002"/>
    <w:rsid w:val="0022717B"/>
    <w:rsid w:val="002272E6"/>
    <w:rsid w:val="00227A89"/>
    <w:rsid w:val="00227B69"/>
    <w:rsid w:val="00227E16"/>
    <w:rsid w:val="002302A8"/>
    <w:rsid w:val="00230CAE"/>
    <w:rsid w:val="00230EB5"/>
    <w:rsid w:val="00231565"/>
    <w:rsid w:val="002315C7"/>
    <w:rsid w:val="002315CC"/>
    <w:rsid w:val="002319D9"/>
    <w:rsid w:val="00231AC7"/>
    <w:rsid w:val="00231B56"/>
    <w:rsid w:val="00231F71"/>
    <w:rsid w:val="00232160"/>
    <w:rsid w:val="002323C2"/>
    <w:rsid w:val="0023261C"/>
    <w:rsid w:val="00232949"/>
    <w:rsid w:val="00232AA4"/>
    <w:rsid w:val="00232BD7"/>
    <w:rsid w:val="00232E32"/>
    <w:rsid w:val="00233809"/>
    <w:rsid w:val="002339AE"/>
    <w:rsid w:val="00233BB7"/>
    <w:rsid w:val="00234406"/>
    <w:rsid w:val="002344E6"/>
    <w:rsid w:val="00234761"/>
    <w:rsid w:val="00234CA6"/>
    <w:rsid w:val="00235064"/>
    <w:rsid w:val="002351A5"/>
    <w:rsid w:val="002351AE"/>
    <w:rsid w:val="0023545C"/>
    <w:rsid w:val="002354F6"/>
    <w:rsid w:val="00235646"/>
    <w:rsid w:val="002356AD"/>
    <w:rsid w:val="00235778"/>
    <w:rsid w:val="00235BCD"/>
    <w:rsid w:val="00236155"/>
    <w:rsid w:val="002361E3"/>
    <w:rsid w:val="002367F9"/>
    <w:rsid w:val="00236803"/>
    <w:rsid w:val="002368CA"/>
    <w:rsid w:val="00237828"/>
    <w:rsid w:val="00237D63"/>
    <w:rsid w:val="00237DE5"/>
    <w:rsid w:val="002400D7"/>
    <w:rsid w:val="0024025D"/>
    <w:rsid w:val="00240569"/>
    <w:rsid w:val="0024071C"/>
    <w:rsid w:val="002407C8"/>
    <w:rsid w:val="0024095B"/>
    <w:rsid w:val="002409C0"/>
    <w:rsid w:val="00240AB6"/>
    <w:rsid w:val="00240BCA"/>
    <w:rsid w:val="00241376"/>
    <w:rsid w:val="002418D2"/>
    <w:rsid w:val="002418DE"/>
    <w:rsid w:val="00241FEA"/>
    <w:rsid w:val="0024248E"/>
    <w:rsid w:val="0024263F"/>
    <w:rsid w:val="002427BF"/>
    <w:rsid w:val="0024358A"/>
    <w:rsid w:val="00244438"/>
    <w:rsid w:val="0024481F"/>
    <w:rsid w:val="00244AA5"/>
    <w:rsid w:val="002454DD"/>
    <w:rsid w:val="00245796"/>
    <w:rsid w:val="00245D07"/>
    <w:rsid w:val="00246B48"/>
    <w:rsid w:val="00246DAF"/>
    <w:rsid w:val="002470BD"/>
    <w:rsid w:val="002471EA"/>
    <w:rsid w:val="002477C6"/>
    <w:rsid w:val="00247B2F"/>
    <w:rsid w:val="00247DD3"/>
    <w:rsid w:val="00250423"/>
    <w:rsid w:val="002506EB"/>
    <w:rsid w:val="00250C33"/>
    <w:rsid w:val="00250DCA"/>
    <w:rsid w:val="002514C5"/>
    <w:rsid w:val="0025159E"/>
    <w:rsid w:val="002519C8"/>
    <w:rsid w:val="00251A88"/>
    <w:rsid w:val="00251B3C"/>
    <w:rsid w:val="00251BDC"/>
    <w:rsid w:val="00251C26"/>
    <w:rsid w:val="00251DBD"/>
    <w:rsid w:val="0025217E"/>
    <w:rsid w:val="00252607"/>
    <w:rsid w:val="0025269D"/>
    <w:rsid w:val="00252AE0"/>
    <w:rsid w:val="00252B94"/>
    <w:rsid w:val="00253232"/>
    <w:rsid w:val="0025393E"/>
    <w:rsid w:val="00253E60"/>
    <w:rsid w:val="00253EE5"/>
    <w:rsid w:val="002543EA"/>
    <w:rsid w:val="00254562"/>
    <w:rsid w:val="002546C8"/>
    <w:rsid w:val="00254889"/>
    <w:rsid w:val="00254A79"/>
    <w:rsid w:val="00254BF0"/>
    <w:rsid w:val="0025511B"/>
    <w:rsid w:val="00255212"/>
    <w:rsid w:val="002552DF"/>
    <w:rsid w:val="002553BC"/>
    <w:rsid w:val="00255527"/>
    <w:rsid w:val="002557DB"/>
    <w:rsid w:val="0025582A"/>
    <w:rsid w:val="0025590C"/>
    <w:rsid w:val="00255D3E"/>
    <w:rsid w:val="002563D2"/>
    <w:rsid w:val="0025642A"/>
    <w:rsid w:val="00256481"/>
    <w:rsid w:val="00257175"/>
    <w:rsid w:val="002578C4"/>
    <w:rsid w:val="00257AB1"/>
    <w:rsid w:val="00257C0A"/>
    <w:rsid w:val="00257DA0"/>
    <w:rsid w:val="002600E2"/>
    <w:rsid w:val="0026042C"/>
    <w:rsid w:val="002605E1"/>
    <w:rsid w:val="00260A90"/>
    <w:rsid w:val="00260D43"/>
    <w:rsid w:val="00260F58"/>
    <w:rsid w:val="00260FB2"/>
    <w:rsid w:val="00261037"/>
    <w:rsid w:val="00261657"/>
    <w:rsid w:val="00261669"/>
    <w:rsid w:val="00261E08"/>
    <w:rsid w:val="002621FC"/>
    <w:rsid w:val="0026222D"/>
    <w:rsid w:val="00262BDD"/>
    <w:rsid w:val="00262C93"/>
    <w:rsid w:val="002633D4"/>
    <w:rsid w:val="00263464"/>
    <w:rsid w:val="002637F5"/>
    <w:rsid w:val="00263852"/>
    <w:rsid w:val="0026391C"/>
    <w:rsid w:val="0026451B"/>
    <w:rsid w:val="002646CE"/>
    <w:rsid w:val="00264881"/>
    <w:rsid w:val="00264AE7"/>
    <w:rsid w:val="00264B42"/>
    <w:rsid w:val="00264B96"/>
    <w:rsid w:val="0026523E"/>
    <w:rsid w:val="0026541F"/>
    <w:rsid w:val="00265457"/>
    <w:rsid w:val="00265518"/>
    <w:rsid w:val="0026598A"/>
    <w:rsid w:val="00265A6B"/>
    <w:rsid w:val="00265EC6"/>
    <w:rsid w:val="00265ED0"/>
    <w:rsid w:val="00266259"/>
    <w:rsid w:val="0026651F"/>
    <w:rsid w:val="002668A1"/>
    <w:rsid w:val="00266BFA"/>
    <w:rsid w:val="002671BA"/>
    <w:rsid w:val="002676E5"/>
    <w:rsid w:val="00267A14"/>
    <w:rsid w:val="0027049F"/>
    <w:rsid w:val="00270519"/>
    <w:rsid w:val="00270659"/>
    <w:rsid w:val="002707BE"/>
    <w:rsid w:val="00270CEA"/>
    <w:rsid w:val="00271222"/>
    <w:rsid w:val="002716B2"/>
    <w:rsid w:val="0027195A"/>
    <w:rsid w:val="00272248"/>
    <w:rsid w:val="00272419"/>
    <w:rsid w:val="002725A3"/>
    <w:rsid w:val="00272C3A"/>
    <w:rsid w:val="00272D0E"/>
    <w:rsid w:val="002733CB"/>
    <w:rsid w:val="00273460"/>
    <w:rsid w:val="0027373C"/>
    <w:rsid w:val="00273B4A"/>
    <w:rsid w:val="00273DA9"/>
    <w:rsid w:val="00274332"/>
    <w:rsid w:val="00274484"/>
    <w:rsid w:val="0027456E"/>
    <w:rsid w:val="002749B9"/>
    <w:rsid w:val="00274C7E"/>
    <w:rsid w:val="00275535"/>
    <w:rsid w:val="00275810"/>
    <w:rsid w:val="00275985"/>
    <w:rsid w:val="00275B0B"/>
    <w:rsid w:val="00275DC1"/>
    <w:rsid w:val="00275F4E"/>
    <w:rsid w:val="002760AE"/>
    <w:rsid w:val="0027622C"/>
    <w:rsid w:val="00276575"/>
    <w:rsid w:val="002765B9"/>
    <w:rsid w:val="002765DC"/>
    <w:rsid w:val="00276704"/>
    <w:rsid w:val="00276A57"/>
    <w:rsid w:val="00277307"/>
    <w:rsid w:val="00277896"/>
    <w:rsid w:val="002778F7"/>
    <w:rsid w:val="002807B8"/>
    <w:rsid w:val="00280807"/>
    <w:rsid w:val="00280F5D"/>
    <w:rsid w:val="00281265"/>
    <w:rsid w:val="0028148B"/>
    <w:rsid w:val="00281571"/>
    <w:rsid w:val="002815AB"/>
    <w:rsid w:val="00281A4A"/>
    <w:rsid w:val="00281B32"/>
    <w:rsid w:val="00282142"/>
    <w:rsid w:val="002822F5"/>
    <w:rsid w:val="00282545"/>
    <w:rsid w:val="00282994"/>
    <w:rsid w:val="00282D3B"/>
    <w:rsid w:val="00282D4E"/>
    <w:rsid w:val="00282DD2"/>
    <w:rsid w:val="00282F4A"/>
    <w:rsid w:val="00283125"/>
    <w:rsid w:val="00283383"/>
    <w:rsid w:val="00283960"/>
    <w:rsid w:val="00283C87"/>
    <w:rsid w:val="00283D16"/>
    <w:rsid w:val="0028432B"/>
    <w:rsid w:val="00284579"/>
    <w:rsid w:val="002845F4"/>
    <w:rsid w:val="0028481E"/>
    <w:rsid w:val="0028492D"/>
    <w:rsid w:val="002849D1"/>
    <w:rsid w:val="00284CF5"/>
    <w:rsid w:val="00284E27"/>
    <w:rsid w:val="00285392"/>
    <w:rsid w:val="0028544E"/>
    <w:rsid w:val="0028546E"/>
    <w:rsid w:val="00285720"/>
    <w:rsid w:val="002857F2"/>
    <w:rsid w:val="00285916"/>
    <w:rsid w:val="00285C60"/>
    <w:rsid w:val="00285CE5"/>
    <w:rsid w:val="00286245"/>
    <w:rsid w:val="002864AF"/>
    <w:rsid w:val="0028650E"/>
    <w:rsid w:val="00286745"/>
    <w:rsid w:val="002869F5"/>
    <w:rsid w:val="00286E8E"/>
    <w:rsid w:val="00286FCB"/>
    <w:rsid w:val="00287504"/>
    <w:rsid w:val="0029006F"/>
    <w:rsid w:val="002905F6"/>
    <w:rsid w:val="00290842"/>
    <w:rsid w:val="0029097C"/>
    <w:rsid w:val="00290B1C"/>
    <w:rsid w:val="00290B47"/>
    <w:rsid w:val="002910C2"/>
    <w:rsid w:val="00291312"/>
    <w:rsid w:val="0029157C"/>
    <w:rsid w:val="00291827"/>
    <w:rsid w:val="00291E68"/>
    <w:rsid w:val="00291FAE"/>
    <w:rsid w:val="00291FDD"/>
    <w:rsid w:val="0029208B"/>
    <w:rsid w:val="002925A8"/>
    <w:rsid w:val="00292729"/>
    <w:rsid w:val="00292BC0"/>
    <w:rsid w:val="00293073"/>
    <w:rsid w:val="0029308F"/>
    <w:rsid w:val="0029326F"/>
    <w:rsid w:val="00293382"/>
    <w:rsid w:val="002933FF"/>
    <w:rsid w:val="0029375B"/>
    <w:rsid w:val="0029379C"/>
    <w:rsid w:val="00293B06"/>
    <w:rsid w:val="00293CA3"/>
    <w:rsid w:val="00293CB0"/>
    <w:rsid w:val="00293ED6"/>
    <w:rsid w:val="002946EA"/>
    <w:rsid w:val="002948D4"/>
    <w:rsid w:val="00294AD4"/>
    <w:rsid w:val="00294DED"/>
    <w:rsid w:val="002955B2"/>
    <w:rsid w:val="00295643"/>
    <w:rsid w:val="002959F5"/>
    <w:rsid w:val="002959FF"/>
    <w:rsid w:val="00295C63"/>
    <w:rsid w:val="00295F8C"/>
    <w:rsid w:val="0029616C"/>
    <w:rsid w:val="002963B5"/>
    <w:rsid w:val="00296793"/>
    <w:rsid w:val="002969CA"/>
    <w:rsid w:val="00297089"/>
    <w:rsid w:val="0029752F"/>
    <w:rsid w:val="00297592"/>
    <w:rsid w:val="0029765C"/>
    <w:rsid w:val="002A0E3B"/>
    <w:rsid w:val="002A10E3"/>
    <w:rsid w:val="002A12E2"/>
    <w:rsid w:val="002A14A1"/>
    <w:rsid w:val="002A1BC8"/>
    <w:rsid w:val="002A1E1D"/>
    <w:rsid w:val="002A1F06"/>
    <w:rsid w:val="002A202A"/>
    <w:rsid w:val="002A2188"/>
    <w:rsid w:val="002A2274"/>
    <w:rsid w:val="002A245C"/>
    <w:rsid w:val="002A24CA"/>
    <w:rsid w:val="002A30C6"/>
    <w:rsid w:val="002A3839"/>
    <w:rsid w:val="002A39FD"/>
    <w:rsid w:val="002A3A14"/>
    <w:rsid w:val="002A3E2E"/>
    <w:rsid w:val="002A3F0D"/>
    <w:rsid w:val="002A4027"/>
    <w:rsid w:val="002A470A"/>
    <w:rsid w:val="002A487F"/>
    <w:rsid w:val="002A4A48"/>
    <w:rsid w:val="002A55F9"/>
    <w:rsid w:val="002A5854"/>
    <w:rsid w:val="002A5C7E"/>
    <w:rsid w:val="002A5E9F"/>
    <w:rsid w:val="002A6752"/>
    <w:rsid w:val="002A686E"/>
    <w:rsid w:val="002A6C88"/>
    <w:rsid w:val="002A6F59"/>
    <w:rsid w:val="002A7F1F"/>
    <w:rsid w:val="002B0D91"/>
    <w:rsid w:val="002B1210"/>
    <w:rsid w:val="002B1607"/>
    <w:rsid w:val="002B16F5"/>
    <w:rsid w:val="002B1C5F"/>
    <w:rsid w:val="002B207C"/>
    <w:rsid w:val="002B211B"/>
    <w:rsid w:val="002B21A7"/>
    <w:rsid w:val="002B21C9"/>
    <w:rsid w:val="002B29EF"/>
    <w:rsid w:val="002B2FB1"/>
    <w:rsid w:val="002B35EE"/>
    <w:rsid w:val="002B3609"/>
    <w:rsid w:val="002B3709"/>
    <w:rsid w:val="002B390C"/>
    <w:rsid w:val="002B4401"/>
    <w:rsid w:val="002B460F"/>
    <w:rsid w:val="002B496F"/>
    <w:rsid w:val="002B4B3D"/>
    <w:rsid w:val="002B4B4A"/>
    <w:rsid w:val="002B516B"/>
    <w:rsid w:val="002B51A8"/>
    <w:rsid w:val="002B52D4"/>
    <w:rsid w:val="002B5343"/>
    <w:rsid w:val="002B57F1"/>
    <w:rsid w:val="002B5823"/>
    <w:rsid w:val="002B5F77"/>
    <w:rsid w:val="002B670F"/>
    <w:rsid w:val="002B6BD6"/>
    <w:rsid w:val="002B6FD7"/>
    <w:rsid w:val="002B724D"/>
    <w:rsid w:val="002B7350"/>
    <w:rsid w:val="002B73E7"/>
    <w:rsid w:val="002B7AA3"/>
    <w:rsid w:val="002C00B6"/>
    <w:rsid w:val="002C0272"/>
    <w:rsid w:val="002C0B8D"/>
    <w:rsid w:val="002C0BBC"/>
    <w:rsid w:val="002C0E00"/>
    <w:rsid w:val="002C14AF"/>
    <w:rsid w:val="002C1A85"/>
    <w:rsid w:val="002C1B9D"/>
    <w:rsid w:val="002C227E"/>
    <w:rsid w:val="002C27FA"/>
    <w:rsid w:val="002C28AA"/>
    <w:rsid w:val="002C305B"/>
    <w:rsid w:val="002C3158"/>
    <w:rsid w:val="002C36D4"/>
    <w:rsid w:val="002C39A0"/>
    <w:rsid w:val="002C3C75"/>
    <w:rsid w:val="002C4222"/>
    <w:rsid w:val="002C455D"/>
    <w:rsid w:val="002C4709"/>
    <w:rsid w:val="002C47BC"/>
    <w:rsid w:val="002C4864"/>
    <w:rsid w:val="002C4D8A"/>
    <w:rsid w:val="002C4F73"/>
    <w:rsid w:val="002C4F81"/>
    <w:rsid w:val="002C50F5"/>
    <w:rsid w:val="002C53C3"/>
    <w:rsid w:val="002C56EB"/>
    <w:rsid w:val="002C57CD"/>
    <w:rsid w:val="002C5A6A"/>
    <w:rsid w:val="002C5E06"/>
    <w:rsid w:val="002C5E0F"/>
    <w:rsid w:val="002C5EE6"/>
    <w:rsid w:val="002C6166"/>
    <w:rsid w:val="002C69E8"/>
    <w:rsid w:val="002C6D9C"/>
    <w:rsid w:val="002C6DAF"/>
    <w:rsid w:val="002C6E8D"/>
    <w:rsid w:val="002C7323"/>
    <w:rsid w:val="002C7351"/>
    <w:rsid w:val="002C7364"/>
    <w:rsid w:val="002C750C"/>
    <w:rsid w:val="002C79B8"/>
    <w:rsid w:val="002C7A79"/>
    <w:rsid w:val="002C7BC6"/>
    <w:rsid w:val="002C7E67"/>
    <w:rsid w:val="002D02F5"/>
    <w:rsid w:val="002D0670"/>
    <w:rsid w:val="002D0754"/>
    <w:rsid w:val="002D096F"/>
    <w:rsid w:val="002D0CEB"/>
    <w:rsid w:val="002D0E10"/>
    <w:rsid w:val="002D10A4"/>
    <w:rsid w:val="002D10B1"/>
    <w:rsid w:val="002D112D"/>
    <w:rsid w:val="002D19B3"/>
    <w:rsid w:val="002D1A81"/>
    <w:rsid w:val="002D1B3B"/>
    <w:rsid w:val="002D22B0"/>
    <w:rsid w:val="002D2521"/>
    <w:rsid w:val="002D268D"/>
    <w:rsid w:val="002D2B2E"/>
    <w:rsid w:val="002D2F4C"/>
    <w:rsid w:val="002D3249"/>
    <w:rsid w:val="002D3480"/>
    <w:rsid w:val="002D377C"/>
    <w:rsid w:val="002D39F9"/>
    <w:rsid w:val="002D3FB9"/>
    <w:rsid w:val="002D4060"/>
    <w:rsid w:val="002D43EA"/>
    <w:rsid w:val="002D4E58"/>
    <w:rsid w:val="002D53FF"/>
    <w:rsid w:val="002D58B9"/>
    <w:rsid w:val="002D5904"/>
    <w:rsid w:val="002D5A3E"/>
    <w:rsid w:val="002D61F8"/>
    <w:rsid w:val="002D639E"/>
    <w:rsid w:val="002D6745"/>
    <w:rsid w:val="002D67EA"/>
    <w:rsid w:val="002D68F9"/>
    <w:rsid w:val="002D6EF6"/>
    <w:rsid w:val="002D73BA"/>
    <w:rsid w:val="002D7494"/>
    <w:rsid w:val="002D74F5"/>
    <w:rsid w:val="002D7901"/>
    <w:rsid w:val="002D7912"/>
    <w:rsid w:val="002D7B11"/>
    <w:rsid w:val="002D7C07"/>
    <w:rsid w:val="002D7C51"/>
    <w:rsid w:val="002D7CF6"/>
    <w:rsid w:val="002E008D"/>
    <w:rsid w:val="002E009C"/>
    <w:rsid w:val="002E0233"/>
    <w:rsid w:val="002E0235"/>
    <w:rsid w:val="002E0B05"/>
    <w:rsid w:val="002E0FE2"/>
    <w:rsid w:val="002E119C"/>
    <w:rsid w:val="002E130A"/>
    <w:rsid w:val="002E188C"/>
    <w:rsid w:val="002E1AD7"/>
    <w:rsid w:val="002E1B83"/>
    <w:rsid w:val="002E1CF0"/>
    <w:rsid w:val="002E2206"/>
    <w:rsid w:val="002E2300"/>
    <w:rsid w:val="002E2430"/>
    <w:rsid w:val="002E316F"/>
    <w:rsid w:val="002E3226"/>
    <w:rsid w:val="002E3298"/>
    <w:rsid w:val="002E3618"/>
    <w:rsid w:val="002E3A0E"/>
    <w:rsid w:val="002E4342"/>
    <w:rsid w:val="002E470C"/>
    <w:rsid w:val="002E47A2"/>
    <w:rsid w:val="002E497C"/>
    <w:rsid w:val="002E4B13"/>
    <w:rsid w:val="002E4B48"/>
    <w:rsid w:val="002E4C3B"/>
    <w:rsid w:val="002E4C41"/>
    <w:rsid w:val="002E4C4F"/>
    <w:rsid w:val="002E4E67"/>
    <w:rsid w:val="002E563F"/>
    <w:rsid w:val="002E5ED6"/>
    <w:rsid w:val="002E5FD4"/>
    <w:rsid w:val="002E735F"/>
    <w:rsid w:val="002E7C24"/>
    <w:rsid w:val="002E7E42"/>
    <w:rsid w:val="002E7E66"/>
    <w:rsid w:val="002F0135"/>
    <w:rsid w:val="002F0408"/>
    <w:rsid w:val="002F0486"/>
    <w:rsid w:val="002F0D9B"/>
    <w:rsid w:val="002F1D91"/>
    <w:rsid w:val="002F2029"/>
    <w:rsid w:val="002F2444"/>
    <w:rsid w:val="002F2470"/>
    <w:rsid w:val="002F2575"/>
    <w:rsid w:val="002F2D6B"/>
    <w:rsid w:val="002F3843"/>
    <w:rsid w:val="002F3C9E"/>
    <w:rsid w:val="002F3FB6"/>
    <w:rsid w:val="002F406D"/>
    <w:rsid w:val="002F43DD"/>
    <w:rsid w:val="002F4414"/>
    <w:rsid w:val="002F46E7"/>
    <w:rsid w:val="002F4FBB"/>
    <w:rsid w:val="002F50EF"/>
    <w:rsid w:val="002F53A7"/>
    <w:rsid w:val="002F5463"/>
    <w:rsid w:val="002F558A"/>
    <w:rsid w:val="002F5978"/>
    <w:rsid w:val="002F5A4B"/>
    <w:rsid w:val="002F5B16"/>
    <w:rsid w:val="002F5B7C"/>
    <w:rsid w:val="002F5D64"/>
    <w:rsid w:val="002F6129"/>
    <w:rsid w:val="002F63E1"/>
    <w:rsid w:val="002F64BC"/>
    <w:rsid w:val="002F65F8"/>
    <w:rsid w:val="002F6F82"/>
    <w:rsid w:val="002F6FDD"/>
    <w:rsid w:val="002F774C"/>
    <w:rsid w:val="002F7EB9"/>
    <w:rsid w:val="002F7EE6"/>
    <w:rsid w:val="002F7F06"/>
    <w:rsid w:val="00300116"/>
    <w:rsid w:val="0030015D"/>
    <w:rsid w:val="003001E5"/>
    <w:rsid w:val="003004C6"/>
    <w:rsid w:val="00300539"/>
    <w:rsid w:val="0030085E"/>
    <w:rsid w:val="00300BF1"/>
    <w:rsid w:val="00300BFE"/>
    <w:rsid w:val="0030136A"/>
    <w:rsid w:val="003013DC"/>
    <w:rsid w:val="003015B4"/>
    <w:rsid w:val="003017EC"/>
    <w:rsid w:val="00301A16"/>
    <w:rsid w:val="00301A71"/>
    <w:rsid w:val="00301B99"/>
    <w:rsid w:val="00301CC6"/>
    <w:rsid w:val="00301EEA"/>
    <w:rsid w:val="0030225D"/>
    <w:rsid w:val="003024B2"/>
    <w:rsid w:val="00302637"/>
    <w:rsid w:val="00302B45"/>
    <w:rsid w:val="00302CF0"/>
    <w:rsid w:val="00302F48"/>
    <w:rsid w:val="003030DB"/>
    <w:rsid w:val="003043EB"/>
    <w:rsid w:val="0030471F"/>
    <w:rsid w:val="00304993"/>
    <w:rsid w:val="00304CCF"/>
    <w:rsid w:val="003051CC"/>
    <w:rsid w:val="003051D1"/>
    <w:rsid w:val="00305952"/>
    <w:rsid w:val="0030608E"/>
    <w:rsid w:val="003062ED"/>
    <w:rsid w:val="00306571"/>
    <w:rsid w:val="0030672C"/>
    <w:rsid w:val="0030683C"/>
    <w:rsid w:val="00306AAB"/>
    <w:rsid w:val="00306DA0"/>
    <w:rsid w:val="00306E4A"/>
    <w:rsid w:val="00306EB4"/>
    <w:rsid w:val="00306F56"/>
    <w:rsid w:val="0030705E"/>
    <w:rsid w:val="00307157"/>
    <w:rsid w:val="00307399"/>
    <w:rsid w:val="0031003F"/>
    <w:rsid w:val="003102E6"/>
    <w:rsid w:val="003103DD"/>
    <w:rsid w:val="00310742"/>
    <w:rsid w:val="00310F0E"/>
    <w:rsid w:val="00311B8D"/>
    <w:rsid w:val="00311DD9"/>
    <w:rsid w:val="00312256"/>
    <w:rsid w:val="003122F1"/>
    <w:rsid w:val="0031261E"/>
    <w:rsid w:val="003128AD"/>
    <w:rsid w:val="00312A4C"/>
    <w:rsid w:val="00312BA6"/>
    <w:rsid w:val="00312CA5"/>
    <w:rsid w:val="00312EFF"/>
    <w:rsid w:val="00313B9B"/>
    <w:rsid w:val="00313EE5"/>
    <w:rsid w:val="00314455"/>
    <w:rsid w:val="003144DC"/>
    <w:rsid w:val="00314E87"/>
    <w:rsid w:val="003151BD"/>
    <w:rsid w:val="003157DD"/>
    <w:rsid w:val="00315839"/>
    <w:rsid w:val="0031583F"/>
    <w:rsid w:val="00315B8C"/>
    <w:rsid w:val="003165D4"/>
    <w:rsid w:val="003166DE"/>
    <w:rsid w:val="00316A40"/>
    <w:rsid w:val="00316D39"/>
    <w:rsid w:val="003175CB"/>
    <w:rsid w:val="00317E25"/>
    <w:rsid w:val="00320645"/>
    <w:rsid w:val="003208EF"/>
    <w:rsid w:val="00320C13"/>
    <w:rsid w:val="00320EFF"/>
    <w:rsid w:val="00321EEF"/>
    <w:rsid w:val="00322390"/>
    <w:rsid w:val="003225DE"/>
    <w:rsid w:val="00322A17"/>
    <w:rsid w:val="00322B3E"/>
    <w:rsid w:val="00322D2E"/>
    <w:rsid w:val="00322F71"/>
    <w:rsid w:val="003233FB"/>
    <w:rsid w:val="003238A8"/>
    <w:rsid w:val="00323ABE"/>
    <w:rsid w:val="00323AD2"/>
    <w:rsid w:val="00323D5E"/>
    <w:rsid w:val="00324028"/>
    <w:rsid w:val="00324185"/>
    <w:rsid w:val="003241DD"/>
    <w:rsid w:val="003243D0"/>
    <w:rsid w:val="00324565"/>
    <w:rsid w:val="00324956"/>
    <w:rsid w:val="00324CBF"/>
    <w:rsid w:val="00324DFF"/>
    <w:rsid w:val="00324FCF"/>
    <w:rsid w:val="00324FFB"/>
    <w:rsid w:val="0032595D"/>
    <w:rsid w:val="003261A4"/>
    <w:rsid w:val="003261BA"/>
    <w:rsid w:val="0032626C"/>
    <w:rsid w:val="0032653D"/>
    <w:rsid w:val="003267EC"/>
    <w:rsid w:val="00326D28"/>
    <w:rsid w:val="00326E70"/>
    <w:rsid w:val="00326ED3"/>
    <w:rsid w:val="00326EFE"/>
    <w:rsid w:val="00326FDA"/>
    <w:rsid w:val="003271B6"/>
    <w:rsid w:val="003272B2"/>
    <w:rsid w:val="003274D8"/>
    <w:rsid w:val="0032756F"/>
    <w:rsid w:val="003276B9"/>
    <w:rsid w:val="003278D4"/>
    <w:rsid w:val="00327E24"/>
    <w:rsid w:val="00330900"/>
    <w:rsid w:val="00331C00"/>
    <w:rsid w:val="00331D18"/>
    <w:rsid w:val="003323CA"/>
    <w:rsid w:val="003325AA"/>
    <w:rsid w:val="003325B2"/>
    <w:rsid w:val="003329F3"/>
    <w:rsid w:val="00332C23"/>
    <w:rsid w:val="00333196"/>
    <w:rsid w:val="0033327D"/>
    <w:rsid w:val="00333633"/>
    <w:rsid w:val="00333953"/>
    <w:rsid w:val="00333E78"/>
    <w:rsid w:val="00334497"/>
    <w:rsid w:val="00334616"/>
    <w:rsid w:val="00334721"/>
    <w:rsid w:val="00334F24"/>
    <w:rsid w:val="00334F8C"/>
    <w:rsid w:val="0033512F"/>
    <w:rsid w:val="003353AF"/>
    <w:rsid w:val="003356A7"/>
    <w:rsid w:val="003356F7"/>
    <w:rsid w:val="00335857"/>
    <w:rsid w:val="00335D4A"/>
    <w:rsid w:val="00335ED9"/>
    <w:rsid w:val="00335FC3"/>
    <w:rsid w:val="003363C7"/>
    <w:rsid w:val="003364A7"/>
    <w:rsid w:val="00336618"/>
    <w:rsid w:val="00337343"/>
    <w:rsid w:val="003377FC"/>
    <w:rsid w:val="00337900"/>
    <w:rsid w:val="00337E85"/>
    <w:rsid w:val="00337F4F"/>
    <w:rsid w:val="0034079F"/>
    <w:rsid w:val="003407A9"/>
    <w:rsid w:val="00340A47"/>
    <w:rsid w:val="00340D5F"/>
    <w:rsid w:val="003416B3"/>
    <w:rsid w:val="003417F3"/>
    <w:rsid w:val="00342096"/>
    <w:rsid w:val="003424AB"/>
    <w:rsid w:val="00342569"/>
    <w:rsid w:val="003425CE"/>
    <w:rsid w:val="00342677"/>
    <w:rsid w:val="003428DE"/>
    <w:rsid w:val="00342A54"/>
    <w:rsid w:val="00342BE7"/>
    <w:rsid w:val="00342D22"/>
    <w:rsid w:val="00342D34"/>
    <w:rsid w:val="00342F22"/>
    <w:rsid w:val="0034302C"/>
    <w:rsid w:val="00343464"/>
    <w:rsid w:val="00343532"/>
    <w:rsid w:val="00343679"/>
    <w:rsid w:val="003436F9"/>
    <w:rsid w:val="00343953"/>
    <w:rsid w:val="003442A0"/>
    <w:rsid w:val="00344569"/>
    <w:rsid w:val="00344A95"/>
    <w:rsid w:val="00344F8F"/>
    <w:rsid w:val="00344FAD"/>
    <w:rsid w:val="003451FE"/>
    <w:rsid w:val="0034538A"/>
    <w:rsid w:val="003456B2"/>
    <w:rsid w:val="003456F4"/>
    <w:rsid w:val="00345761"/>
    <w:rsid w:val="003459D7"/>
    <w:rsid w:val="00345D31"/>
    <w:rsid w:val="00346143"/>
    <w:rsid w:val="00346189"/>
    <w:rsid w:val="0034640C"/>
    <w:rsid w:val="00346CA4"/>
    <w:rsid w:val="00346E3F"/>
    <w:rsid w:val="00346F65"/>
    <w:rsid w:val="003471A1"/>
    <w:rsid w:val="0034793B"/>
    <w:rsid w:val="00350140"/>
    <w:rsid w:val="00350241"/>
    <w:rsid w:val="00350534"/>
    <w:rsid w:val="0035055E"/>
    <w:rsid w:val="00350854"/>
    <w:rsid w:val="003508B4"/>
    <w:rsid w:val="00350E47"/>
    <w:rsid w:val="00351177"/>
    <w:rsid w:val="003511EA"/>
    <w:rsid w:val="003512B6"/>
    <w:rsid w:val="0035189C"/>
    <w:rsid w:val="003519A8"/>
    <w:rsid w:val="00351B6D"/>
    <w:rsid w:val="00351FF0"/>
    <w:rsid w:val="0035205B"/>
    <w:rsid w:val="0035213A"/>
    <w:rsid w:val="0035229D"/>
    <w:rsid w:val="00352570"/>
    <w:rsid w:val="00352AB9"/>
    <w:rsid w:val="00353555"/>
    <w:rsid w:val="00353CA3"/>
    <w:rsid w:val="0035448F"/>
    <w:rsid w:val="00354CE0"/>
    <w:rsid w:val="00354D0C"/>
    <w:rsid w:val="00354F19"/>
    <w:rsid w:val="00355ABF"/>
    <w:rsid w:val="00355C7D"/>
    <w:rsid w:val="0035600F"/>
    <w:rsid w:val="0035603C"/>
    <w:rsid w:val="003565E7"/>
    <w:rsid w:val="003568D4"/>
    <w:rsid w:val="00356912"/>
    <w:rsid w:val="0035695E"/>
    <w:rsid w:val="00356A11"/>
    <w:rsid w:val="00357182"/>
    <w:rsid w:val="00357A78"/>
    <w:rsid w:val="00357E20"/>
    <w:rsid w:val="00357EDC"/>
    <w:rsid w:val="00360597"/>
    <w:rsid w:val="003607BF"/>
    <w:rsid w:val="0036185E"/>
    <w:rsid w:val="003618F3"/>
    <w:rsid w:val="00361B38"/>
    <w:rsid w:val="00361DF1"/>
    <w:rsid w:val="00362399"/>
    <w:rsid w:val="003624C9"/>
    <w:rsid w:val="00362753"/>
    <w:rsid w:val="00362847"/>
    <w:rsid w:val="00362A28"/>
    <w:rsid w:val="00362C98"/>
    <w:rsid w:val="00362E42"/>
    <w:rsid w:val="00363389"/>
    <w:rsid w:val="003633EE"/>
    <w:rsid w:val="003636CB"/>
    <w:rsid w:val="003637CB"/>
    <w:rsid w:val="00363A21"/>
    <w:rsid w:val="00363AFE"/>
    <w:rsid w:val="00363D95"/>
    <w:rsid w:val="00363E7A"/>
    <w:rsid w:val="0036486E"/>
    <w:rsid w:val="003648D3"/>
    <w:rsid w:val="0036532F"/>
    <w:rsid w:val="00365496"/>
    <w:rsid w:val="003656B5"/>
    <w:rsid w:val="00365976"/>
    <w:rsid w:val="00365A3D"/>
    <w:rsid w:val="003660C8"/>
    <w:rsid w:val="003661CA"/>
    <w:rsid w:val="00366CE0"/>
    <w:rsid w:val="00366F83"/>
    <w:rsid w:val="00367150"/>
    <w:rsid w:val="0036724B"/>
    <w:rsid w:val="003673B8"/>
    <w:rsid w:val="00367D8D"/>
    <w:rsid w:val="00367E89"/>
    <w:rsid w:val="003700DC"/>
    <w:rsid w:val="003703AB"/>
    <w:rsid w:val="003705C9"/>
    <w:rsid w:val="00370BB3"/>
    <w:rsid w:val="00370DCD"/>
    <w:rsid w:val="0037111A"/>
    <w:rsid w:val="00371242"/>
    <w:rsid w:val="003714C5"/>
    <w:rsid w:val="00371DCA"/>
    <w:rsid w:val="0037224B"/>
    <w:rsid w:val="00372400"/>
    <w:rsid w:val="0037241A"/>
    <w:rsid w:val="003725EA"/>
    <w:rsid w:val="00372846"/>
    <w:rsid w:val="00372ACD"/>
    <w:rsid w:val="00372D51"/>
    <w:rsid w:val="003734E0"/>
    <w:rsid w:val="00373979"/>
    <w:rsid w:val="00373993"/>
    <w:rsid w:val="00373A9A"/>
    <w:rsid w:val="00374541"/>
    <w:rsid w:val="0037474A"/>
    <w:rsid w:val="00374A84"/>
    <w:rsid w:val="00374D21"/>
    <w:rsid w:val="00375008"/>
    <w:rsid w:val="00375205"/>
    <w:rsid w:val="00375B35"/>
    <w:rsid w:val="00375BB3"/>
    <w:rsid w:val="003762DB"/>
    <w:rsid w:val="003763A7"/>
    <w:rsid w:val="003767AA"/>
    <w:rsid w:val="00376C30"/>
    <w:rsid w:val="00376C89"/>
    <w:rsid w:val="0037738C"/>
    <w:rsid w:val="00377520"/>
    <w:rsid w:val="003775BA"/>
    <w:rsid w:val="00377AE9"/>
    <w:rsid w:val="00377B9C"/>
    <w:rsid w:val="00377BBF"/>
    <w:rsid w:val="00377D58"/>
    <w:rsid w:val="00377E97"/>
    <w:rsid w:val="00380252"/>
    <w:rsid w:val="00380316"/>
    <w:rsid w:val="00380625"/>
    <w:rsid w:val="00380DCF"/>
    <w:rsid w:val="00380F3E"/>
    <w:rsid w:val="00380FC8"/>
    <w:rsid w:val="0038128B"/>
    <w:rsid w:val="00381520"/>
    <w:rsid w:val="00381577"/>
    <w:rsid w:val="0038191B"/>
    <w:rsid w:val="00381B87"/>
    <w:rsid w:val="00381C48"/>
    <w:rsid w:val="00382409"/>
    <w:rsid w:val="003827E4"/>
    <w:rsid w:val="003829A3"/>
    <w:rsid w:val="003829D9"/>
    <w:rsid w:val="00382BED"/>
    <w:rsid w:val="0038326F"/>
    <w:rsid w:val="00383DE4"/>
    <w:rsid w:val="00383EA8"/>
    <w:rsid w:val="00384346"/>
    <w:rsid w:val="003844E9"/>
    <w:rsid w:val="00384812"/>
    <w:rsid w:val="00384C3F"/>
    <w:rsid w:val="00384DDA"/>
    <w:rsid w:val="00385304"/>
    <w:rsid w:val="00385572"/>
    <w:rsid w:val="003858F5"/>
    <w:rsid w:val="00385F2F"/>
    <w:rsid w:val="00385FBD"/>
    <w:rsid w:val="00385FCB"/>
    <w:rsid w:val="00386282"/>
    <w:rsid w:val="00386326"/>
    <w:rsid w:val="003864DC"/>
    <w:rsid w:val="00386B51"/>
    <w:rsid w:val="00386D82"/>
    <w:rsid w:val="003873C7"/>
    <w:rsid w:val="003876F2"/>
    <w:rsid w:val="00387840"/>
    <w:rsid w:val="00387926"/>
    <w:rsid w:val="00387B13"/>
    <w:rsid w:val="00387BA9"/>
    <w:rsid w:val="00387C61"/>
    <w:rsid w:val="003901D1"/>
    <w:rsid w:val="0039022D"/>
    <w:rsid w:val="00390877"/>
    <w:rsid w:val="00390A05"/>
    <w:rsid w:val="00390DC6"/>
    <w:rsid w:val="00391290"/>
    <w:rsid w:val="00391317"/>
    <w:rsid w:val="003913E7"/>
    <w:rsid w:val="0039176B"/>
    <w:rsid w:val="003918C5"/>
    <w:rsid w:val="00391C5F"/>
    <w:rsid w:val="00391E12"/>
    <w:rsid w:val="0039220C"/>
    <w:rsid w:val="0039263D"/>
    <w:rsid w:val="003927EC"/>
    <w:rsid w:val="00392D63"/>
    <w:rsid w:val="003931E7"/>
    <w:rsid w:val="00393E83"/>
    <w:rsid w:val="00394209"/>
    <w:rsid w:val="003944A0"/>
    <w:rsid w:val="00394BC8"/>
    <w:rsid w:val="00394DD5"/>
    <w:rsid w:val="00395616"/>
    <w:rsid w:val="0039592C"/>
    <w:rsid w:val="00395977"/>
    <w:rsid w:val="00395E4B"/>
    <w:rsid w:val="00395ED7"/>
    <w:rsid w:val="00395F61"/>
    <w:rsid w:val="0039601B"/>
    <w:rsid w:val="0039621B"/>
    <w:rsid w:val="0039624A"/>
    <w:rsid w:val="003963A4"/>
    <w:rsid w:val="00396E26"/>
    <w:rsid w:val="00397071"/>
    <w:rsid w:val="00397169"/>
    <w:rsid w:val="003973E5"/>
    <w:rsid w:val="0039740A"/>
    <w:rsid w:val="00397DA1"/>
    <w:rsid w:val="003A0053"/>
    <w:rsid w:val="003A1568"/>
    <w:rsid w:val="003A1ADE"/>
    <w:rsid w:val="003A1F2F"/>
    <w:rsid w:val="003A2090"/>
    <w:rsid w:val="003A23C8"/>
    <w:rsid w:val="003A23F2"/>
    <w:rsid w:val="003A24EB"/>
    <w:rsid w:val="003A27D3"/>
    <w:rsid w:val="003A289D"/>
    <w:rsid w:val="003A2D2F"/>
    <w:rsid w:val="003A2FA8"/>
    <w:rsid w:val="003A30AF"/>
    <w:rsid w:val="003A327E"/>
    <w:rsid w:val="003A36E4"/>
    <w:rsid w:val="003A36E7"/>
    <w:rsid w:val="003A388B"/>
    <w:rsid w:val="003A39BF"/>
    <w:rsid w:val="003A3AFC"/>
    <w:rsid w:val="003A3DF4"/>
    <w:rsid w:val="003A48D5"/>
    <w:rsid w:val="003A4CD6"/>
    <w:rsid w:val="003A4D4F"/>
    <w:rsid w:val="003A5309"/>
    <w:rsid w:val="003A545D"/>
    <w:rsid w:val="003A55DF"/>
    <w:rsid w:val="003A5654"/>
    <w:rsid w:val="003A5A1F"/>
    <w:rsid w:val="003A5EC6"/>
    <w:rsid w:val="003A5F81"/>
    <w:rsid w:val="003A6043"/>
    <w:rsid w:val="003A645D"/>
    <w:rsid w:val="003A6746"/>
    <w:rsid w:val="003A695E"/>
    <w:rsid w:val="003A69AD"/>
    <w:rsid w:val="003A71C1"/>
    <w:rsid w:val="003A738E"/>
    <w:rsid w:val="003B0257"/>
    <w:rsid w:val="003B0295"/>
    <w:rsid w:val="003B059A"/>
    <w:rsid w:val="003B0912"/>
    <w:rsid w:val="003B0A3A"/>
    <w:rsid w:val="003B0C41"/>
    <w:rsid w:val="003B0EAA"/>
    <w:rsid w:val="003B0EEC"/>
    <w:rsid w:val="003B138A"/>
    <w:rsid w:val="003B13E1"/>
    <w:rsid w:val="003B155B"/>
    <w:rsid w:val="003B168F"/>
    <w:rsid w:val="003B16E3"/>
    <w:rsid w:val="003B185A"/>
    <w:rsid w:val="003B1D5C"/>
    <w:rsid w:val="003B29B4"/>
    <w:rsid w:val="003B2F9C"/>
    <w:rsid w:val="003B333E"/>
    <w:rsid w:val="003B3567"/>
    <w:rsid w:val="003B3AF1"/>
    <w:rsid w:val="003B3D34"/>
    <w:rsid w:val="003B3EA7"/>
    <w:rsid w:val="003B3EDE"/>
    <w:rsid w:val="003B3F9A"/>
    <w:rsid w:val="003B4230"/>
    <w:rsid w:val="003B45C1"/>
    <w:rsid w:val="003B4664"/>
    <w:rsid w:val="003B4AC2"/>
    <w:rsid w:val="003B4DDA"/>
    <w:rsid w:val="003B4DFB"/>
    <w:rsid w:val="003B4E3B"/>
    <w:rsid w:val="003B4E5C"/>
    <w:rsid w:val="003B4E6A"/>
    <w:rsid w:val="003B4EB2"/>
    <w:rsid w:val="003B510D"/>
    <w:rsid w:val="003B544F"/>
    <w:rsid w:val="003B568F"/>
    <w:rsid w:val="003B56DD"/>
    <w:rsid w:val="003B5809"/>
    <w:rsid w:val="003B59B4"/>
    <w:rsid w:val="003B5A0A"/>
    <w:rsid w:val="003B5C5B"/>
    <w:rsid w:val="003B5EAE"/>
    <w:rsid w:val="003B6A4B"/>
    <w:rsid w:val="003B6FD8"/>
    <w:rsid w:val="003B728D"/>
    <w:rsid w:val="003B7555"/>
    <w:rsid w:val="003B7727"/>
    <w:rsid w:val="003B77F3"/>
    <w:rsid w:val="003C0159"/>
    <w:rsid w:val="003C017D"/>
    <w:rsid w:val="003C01CE"/>
    <w:rsid w:val="003C0277"/>
    <w:rsid w:val="003C0AF6"/>
    <w:rsid w:val="003C1087"/>
    <w:rsid w:val="003C1656"/>
    <w:rsid w:val="003C1764"/>
    <w:rsid w:val="003C17A8"/>
    <w:rsid w:val="003C186D"/>
    <w:rsid w:val="003C19F0"/>
    <w:rsid w:val="003C1CA1"/>
    <w:rsid w:val="003C2186"/>
    <w:rsid w:val="003C22FA"/>
    <w:rsid w:val="003C280C"/>
    <w:rsid w:val="003C3127"/>
    <w:rsid w:val="003C41D9"/>
    <w:rsid w:val="003C432F"/>
    <w:rsid w:val="003C4726"/>
    <w:rsid w:val="003C5305"/>
    <w:rsid w:val="003C584E"/>
    <w:rsid w:val="003C5E18"/>
    <w:rsid w:val="003C5FF4"/>
    <w:rsid w:val="003C6B24"/>
    <w:rsid w:val="003C776C"/>
    <w:rsid w:val="003C77A1"/>
    <w:rsid w:val="003D04B6"/>
    <w:rsid w:val="003D0503"/>
    <w:rsid w:val="003D0ED6"/>
    <w:rsid w:val="003D13BA"/>
    <w:rsid w:val="003D160C"/>
    <w:rsid w:val="003D16F8"/>
    <w:rsid w:val="003D1918"/>
    <w:rsid w:val="003D1A73"/>
    <w:rsid w:val="003D2000"/>
    <w:rsid w:val="003D23AF"/>
    <w:rsid w:val="003D2F77"/>
    <w:rsid w:val="003D387B"/>
    <w:rsid w:val="003D391D"/>
    <w:rsid w:val="003D3DE6"/>
    <w:rsid w:val="003D443D"/>
    <w:rsid w:val="003D4983"/>
    <w:rsid w:val="003D4D44"/>
    <w:rsid w:val="003D4E94"/>
    <w:rsid w:val="003D4EA0"/>
    <w:rsid w:val="003D5C82"/>
    <w:rsid w:val="003D624C"/>
    <w:rsid w:val="003D6443"/>
    <w:rsid w:val="003D65A5"/>
    <w:rsid w:val="003D65DD"/>
    <w:rsid w:val="003D6C97"/>
    <w:rsid w:val="003D6D16"/>
    <w:rsid w:val="003D72B0"/>
    <w:rsid w:val="003D7528"/>
    <w:rsid w:val="003D78C7"/>
    <w:rsid w:val="003D7FF5"/>
    <w:rsid w:val="003E02E7"/>
    <w:rsid w:val="003E0606"/>
    <w:rsid w:val="003E06AE"/>
    <w:rsid w:val="003E09BD"/>
    <w:rsid w:val="003E0AFB"/>
    <w:rsid w:val="003E11A8"/>
    <w:rsid w:val="003E1452"/>
    <w:rsid w:val="003E14F4"/>
    <w:rsid w:val="003E197F"/>
    <w:rsid w:val="003E1EC7"/>
    <w:rsid w:val="003E1FBA"/>
    <w:rsid w:val="003E232C"/>
    <w:rsid w:val="003E2360"/>
    <w:rsid w:val="003E282C"/>
    <w:rsid w:val="003E36BB"/>
    <w:rsid w:val="003E3939"/>
    <w:rsid w:val="003E4391"/>
    <w:rsid w:val="003E4538"/>
    <w:rsid w:val="003E4657"/>
    <w:rsid w:val="003E485D"/>
    <w:rsid w:val="003E4A3E"/>
    <w:rsid w:val="003E4A92"/>
    <w:rsid w:val="003E4B41"/>
    <w:rsid w:val="003E4C86"/>
    <w:rsid w:val="003E4CDB"/>
    <w:rsid w:val="003E5525"/>
    <w:rsid w:val="003E563E"/>
    <w:rsid w:val="003E5D73"/>
    <w:rsid w:val="003E5F92"/>
    <w:rsid w:val="003E625E"/>
    <w:rsid w:val="003E62F4"/>
    <w:rsid w:val="003E67E2"/>
    <w:rsid w:val="003E70D7"/>
    <w:rsid w:val="003E70F4"/>
    <w:rsid w:val="003E737F"/>
    <w:rsid w:val="003E76BF"/>
    <w:rsid w:val="003E78BD"/>
    <w:rsid w:val="003E792A"/>
    <w:rsid w:val="003E7DC7"/>
    <w:rsid w:val="003F011B"/>
    <w:rsid w:val="003F0524"/>
    <w:rsid w:val="003F0527"/>
    <w:rsid w:val="003F087E"/>
    <w:rsid w:val="003F0AD1"/>
    <w:rsid w:val="003F0EE2"/>
    <w:rsid w:val="003F1422"/>
    <w:rsid w:val="003F193F"/>
    <w:rsid w:val="003F1DC3"/>
    <w:rsid w:val="003F1E48"/>
    <w:rsid w:val="003F1E9A"/>
    <w:rsid w:val="003F1EA7"/>
    <w:rsid w:val="003F2102"/>
    <w:rsid w:val="003F2666"/>
    <w:rsid w:val="003F28A6"/>
    <w:rsid w:val="003F38C6"/>
    <w:rsid w:val="003F3E52"/>
    <w:rsid w:val="003F4338"/>
    <w:rsid w:val="003F4494"/>
    <w:rsid w:val="003F5326"/>
    <w:rsid w:val="003F5A82"/>
    <w:rsid w:val="003F5BA8"/>
    <w:rsid w:val="003F6397"/>
    <w:rsid w:val="003F63CF"/>
    <w:rsid w:val="003F644D"/>
    <w:rsid w:val="003F6566"/>
    <w:rsid w:val="003F65F5"/>
    <w:rsid w:val="003F6782"/>
    <w:rsid w:val="003F6B9E"/>
    <w:rsid w:val="003F6C50"/>
    <w:rsid w:val="003F6EFB"/>
    <w:rsid w:val="003F701C"/>
    <w:rsid w:val="003F7113"/>
    <w:rsid w:val="003F71F7"/>
    <w:rsid w:val="003F73AC"/>
    <w:rsid w:val="003F73F6"/>
    <w:rsid w:val="003F7439"/>
    <w:rsid w:val="003F7454"/>
    <w:rsid w:val="003F75CF"/>
    <w:rsid w:val="003F782C"/>
    <w:rsid w:val="003F7D3E"/>
    <w:rsid w:val="00400167"/>
    <w:rsid w:val="00400E6B"/>
    <w:rsid w:val="0040111F"/>
    <w:rsid w:val="0040145E"/>
    <w:rsid w:val="00401B3B"/>
    <w:rsid w:val="00401BAC"/>
    <w:rsid w:val="00401CAA"/>
    <w:rsid w:val="0040208A"/>
    <w:rsid w:val="0040268E"/>
    <w:rsid w:val="00402A05"/>
    <w:rsid w:val="00403154"/>
    <w:rsid w:val="00403319"/>
    <w:rsid w:val="00403C27"/>
    <w:rsid w:val="00403D29"/>
    <w:rsid w:val="00403D47"/>
    <w:rsid w:val="00403F58"/>
    <w:rsid w:val="004040B4"/>
    <w:rsid w:val="004041F9"/>
    <w:rsid w:val="00404319"/>
    <w:rsid w:val="00404332"/>
    <w:rsid w:val="004046A9"/>
    <w:rsid w:val="0040485C"/>
    <w:rsid w:val="00404A4D"/>
    <w:rsid w:val="00404BD4"/>
    <w:rsid w:val="00405307"/>
    <w:rsid w:val="004053AC"/>
    <w:rsid w:val="004053E1"/>
    <w:rsid w:val="004054C0"/>
    <w:rsid w:val="004055AC"/>
    <w:rsid w:val="0040577D"/>
    <w:rsid w:val="00405936"/>
    <w:rsid w:val="0040597C"/>
    <w:rsid w:val="004061CD"/>
    <w:rsid w:val="00406201"/>
    <w:rsid w:val="004065D9"/>
    <w:rsid w:val="00406738"/>
    <w:rsid w:val="0040681C"/>
    <w:rsid w:val="00406BAC"/>
    <w:rsid w:val="00406C4A"/>
    <w:rsid w:val="004076DA"/>
    <w:rsid w:val="00407842"/>
    <w:rsid w:val="00407936"/>
    <w:rsid w:val="00407A89"/>
    <w:rsid w:val="004102AD"/>
    <w:rsid w:val="004104D2"/>
    <w:rsid w:val="00410543"/>
    <w:rsid w:val="004108CB"/>
    <w:rsid w:val="00410945"/>
    <w:rsid w:val="00410C62"/>
    <w:rsid w:val="004110D2"/>
    <w:rsid w:val="00411386"/>
    <w:rsid w:val="0041138C"/>
    <w:rsid w:val="00411679"/>
    <w:rsid w:val="00411B21"/>
    <w:rsid w:val="00411FC6"/>
    <w:rsid w:val="0041211F"/>
    <w:rsid w:val="0041239A"/>
    <w:rsid w:val="00412902"/>
    <w:rsid w:val="004129D4"/>
    <w:rsid w:val="00412A66"/>
    <w:rsid w:val="00412A9A"/>
    <w:rsid w:val="0041343D"/>
    <w:rsid w:val="004138C1"/>
    <w:rsid w:val="00413A5B"/>
    <w:rsid w:val="00413CD5"/>
    <w:rsid w:val="004141FF"/>
    <w:rsid w:val="004148BF"/>
    <w:rsid w:val="0041492E"/>
    <w:rsid w:val="00414D0C"/>
    <w:rsid w:val="00414E98"/>
    <w:rsid w:val="00414F78"/>
    <w:rsid w:val="0041534F"/>
    <w:rsid w:val="0041695A"/>
    <w:rsid w:val="00416B3D"/>
    <w:rsid w:val="00416BCC"/>
    <w:rsid w:val="00416E92"/>
    <w:rsid w:val="00416FA2"/>
    <w:rsid w:val="00417DBA"/>
    <w:rsid w:val="00417E49"/>
    <w:rsid w:val="00417FB4"/>
    <w:rsid w:val="0042008B"/>
    <w:rsid w:val="004200ED"/>
    <w:rsid w:val="004205EB"/>
    <w:rsid w:val="00420F1E"/>
    <w:rsid w:val="00420F6B"/>
    <w:rsid w:val="0042162E"/>
    <w:rsid w:val="004216E4"/>
    <w:rsid w:val="00421906"/>
    <w:rsid w:val="00421957"/>
    <w:rsid w:val="00421967"/>
    <w:rsid w:val="0042205C"/>
    <w:rsid w:val="004221CD"/>
    <w:rsid w:val="0042266D"/>
    <w:rsid w:val="004226C0"/>
    <w:rsid w:val="00423253"/>
    <w:rsid w:val="00423A18"/>
    <w:rsid w:val="00423F18"/>
    <w:rsid w:val="00423F58"/>
    <w:rsid w:val="004242CD"/>
    <w:rsid w:val="004243DC"/>
    <w:rsid w:val="00424601"/>
    <w:rsid w:val="00424ABB"/>
    <w:rsid w:val="00425045"/>
    <w:rsid w:val="004251A1"/>
    <w:rsid w:val="004251BB"/>
    <w:rsid w:val="004251CD"/>
    <w:rsid w:val="004251F2"/>
    <w:rsid w:val="004252B6"/>
    <w:rsid w:val="00425501"/>
    <w:rsid w:val="004258C2"/>
    <w:rsid w:val="004259AB"/>
    <w:rsid w:val="00425E45"/>
    <w:rsid w:val="0042628C"/>
    <w:rsid w:val="00426583"/>
    <w:rsid w:val="00426B73"/>
    <w:rsid w:val="00426D4A"/>
    <w:rsid w:val="00427753"/>
    <w:rsid w:val="004278B2"/>
    <w:rsid w:val="0043006C"/>
    <w:rsid w:val="0043030B"/>
    <w:rsid w:val="004304B0"/>
    <w:rsid w:val="004304F7"/>
    <w:rsid w:val="0043063B"/>
    <w:rsid w:val="00430B06"/>
    <w:rsid w:val="00430C4A"/>
    <w:rsid w:val="00430EAF"/>
    <w:rsid w:val="004310F0"/>
    <w:rsid w:val="00431BC9"/>
    <w:rsid w:val="00431C7B"/>
    <w:rsid w:val="00431EDF"/>
    <w:rsid w:val="00431F68"/>
    <w:rsid w:val="00432047"/>
    <w:rsid w:val="004320D5"/>
    <w:rsid w:val="0043287D"/>
    <w:rsid w:val="00432A80"/>
    <w:rsid w:val="00432FB6"/>
    <w:rsid w:val="004330D2"/>
    <w:rsid w:val="00433C73"/>
    <w:rsid w:val="00433F64"/>
    <w:rsid w:val="00434B65"/>
    <w:rsid w:val="00435611"/>
    <w:rsid w:val="0043561B"/>
    <w:rsid w:val="00435967"/>
    <w:rsid w:val="00435B87"/>
    <w:rsid w:val="00435C78"/>
    <w:rsid w:val="00435D5D"/>
    <w:rsid w:val="00435EA5"/>
    <w:rsid w:val="00436444"/>
    <w:rsid w:val="00436812"/>
    <w:rsid w:val="0043691F"/>
    <w:rsid w:val="00436983"/>
    <w:rsid w:val="00436A31"/>
    <w:rsid w:val="0043759C"/>
    <w:rsid w:val="00437B3C"/>
    <w:rsid w:val="004404EF"/>
    <w:rsid w:val="00441258"/>
    <w:rsid w:val="004414BD"/>
    <w:rsid w:val="004416EA"/>
    <w:rsid w:val="00441C20"/>
    <w:rsid w:val="00441F3B"/>
    <w:rsid w:val="00442045"/>
    <w:rsid w:val="0044232A"/>
    <w:rsid w:val="0044294A"/>
    <w:rsid w:val="00442C96"/>
    <w:rsid w:val="00442DEA"/>
    <w:rsid w:val="00443090"/>
    <w:rsid w:val="0044315C"/>
    <w:rsid w:val="00443565"/>
    <w:rsid w:val="00443814"/>
    <w:rsid w:val="00443923"/>
    <w:rsid w:val="00443A75"/>
    <w:rsid w:val="00443A7A"/>
    <w:rsid w:val="00443EEC"/>
    <w:rsid w:val="0044445D"/>
    <w:rsid w:val="00444A46"/>
    <w:rsid w:val="00444AE2"/>
    <w:rsid w:val="004451BE"/>
    <w:rsid w:val="00445210"/>
    <w:rsid w:val="00445515"/>
    <w:rsid w:val="004455B0"/>
    <w:rsid w:val="004457A2"/>
    <w:rsid w:val="004458C8"/>
    <w:rsid w:val="004464C9"/>
    <w:rsid w:val="004465E2"/>
    <w:rsid w:val="004466DB"/>
    <w:rsid w:val="00446745"/>
    <w:rsid w:val="004467AD"/>
    <w:rsid w:val="004469A2"/>
    <w:rsid w:val="00446A3B"/>
    <w:rsid w:val="00446FA7"/>
    <w:rsid w:val="00446FFA"/>
    <w:rsid w:val="00447128"/>
    <w:rsid w:val="0044736F"/>
    <w:rsid w:val="00447AAA"/>
    <w:rsid w:val="00447CE2"/>
    <w:rsid w:val="00447D21"/>
    <w:rsid w:val="00447F16"/>
    <w:rsid w:val="004502E7"/>
    <w:rsid w:val="00450872"/>
    <w:rsid w:val="00450999"/>
    <w:rsid w:val="00451093"/>
    <w:rsid w:val="004512B7"/>
    <w:rsid w:val="004513F4"/>
    <w:rsid w:val="00451657"/>
    <w:rsid w:val="0045174C"/>
    <w:rsid w:val="00451A3E"/>
    <w:rsid w:val="00451AB2"/>
    <w:rsid w:val="00451AE1"/>
    <w:rsid w:val="00451BD5"/>
    <w:rsid w:val="004522CC"/>
    <w:rsid w:val="0045231E"/>
    <w:rsid w:val="004526D4"/>
    <w:rsid w:val="004527ED"/>
    <w:rsid w:val="00452C80"/>
    <w:rsid w:val="004534C7"/>
    <w:rsid w:val="0045431D"/>
    <w:rsid w:val="004547FD"/>
    <w:rsid w:val="00454A29"/>
    <w:rsid w:val="00454A63"/>
    <w:rsid w:val="00454C47"/>
    <w:rsid w:val="00454FA8"/>
    <w:rsid w:val="00455A28"/>
    <w:rsid w:val="00455C10"/>
    <w:rsid w:val="00455EB7"/>
    <w:rsid w:val="00456189"/>
    <w:rsid w:val="0045625D"/>
    <w:rsid w:val="00456327"/>
    <w:rsid w:val="004567DE"/>
    <w:rsid w:val="0045681A"/>
    <w:rsid w:val="00456A32"/>
    <w:rsid w:val="00456EBF"/>
    <w:rsid w:val="00457056"/>
    <w:rsid w:val="004573DC"/>
    <w:rsid w:val="00457521"/>
    <w:rsid w:val="00457C90"/>
    <w:rsid w:val="00457D2F"/>
    <w:rsid w:val="00457F8F"/>
    <w:rsid w:val="0046019D"/>
    <w:rsid w:val="00460772"/>
    <w:rsid w:val="004607FA"/>
    <w:rsid w:val="00460D1B"/>
    <w:rsid w:val="00460EAF"/>
    <w:rsid w:val="0046142D"/>
    <w:rsid w:val="004616AF"/>
    <w:rsid w:val="00461917"/>
    <w:rsid w:val="0046215F"/>
    <w:rsid w:val="0046233F"/>
    <w:rsid w:val="004626B2"/>
    <w:rsid w:val="004627B7"/>
    <w:rsid w:val="004628C7"/>
    <w:rsid w:val="00462E5F"/>
    <w:rsid w:val="00463413"/>
    <w:rsid w:val="004637A1"/>
    <w:rsid w:val="004637FE"/>
    <w:rsid w:val="004638ED"/>
    <w:rsid w:val="00464056"/>
    <w:rsid w:val="00464116"/>
    <w:rsid w:val="00464317"/>
    <w:rsid w:val="00464325"/>
    <w:rsid w:val="004648C2"/>
    <w:rsid w:val="00464A65"/>
    <w:rsid w:val="00464B2B"/>
    <w:rsid w:val="00464F4D"/>
    <w:rsid w:val="004650AE"/>
    <w:rsid w:val="0046566F"/>
    <w:rsid w:val="00465D1D"/>
    <w:rsid w:val="00465D7A"/>
    <w:rsid w:val="00465E6B"/>
    <w:rsid w:val="00465E9D"/>
    <w:rsid w:val="004662ED"/>
    <w:rsid w:val="00466514"/>
    <w:rsid w:val="004665B3"/>
    <w:rsid w:val="004667A1"/>
    <w:rsid w:val="00466AE8"/>
    <w:rsid w:val="00466DBF"/>
    <w:rsid w:val="00466F0C"/>
    <w:rsid w:val="00467264"/>
    <w:rsid w:val="00467713"/>
    <w:rsid w:val="00467C7B"/>
    <w:rsid w:val="00470283"/>
    <w:rsid w:val="004705A0"/>
    <w:rsid w:val="00470809"/>
    <w:rsid w:val="00470854"/>
    <w:rsid w:val="00470D51"/>
    <w:rsid w:val="00470DE2"/>
    <w:rsid w:val="00471271"/>
    <w:rsid w:val="00471420"/>
    <w:rsid w:val="0047193D"/>
    <w:rsid w:val="00471C4C"/>
    <w:rsid w:val="00471CFF"/>
    <w:rsid w:val="00471DF9"/>
    <w:rsid w:val="004721BF"/>
    <w:rsid w:val="0047254C"/>
    <w:rsid w:val="00472578"/>
    <w:rsid w:val="00472782"/>
    <w:rsid w:val="00472ABA"/>
    <w:rsid w:val="00473352"/>
    <w:rsid w:val="004734F3"/>
    <w:rsid w:val="004737B0"/>
    <w:rsid w:val="00473A81"/>
    <w:rsid w:val="00473CFF"/>
    <w:rsid w:val="00473F49"/>
    <w:rsid w:val="00474302"/>
    <w:rsid w:val="00474312"/>
    <w:rsid w:val="004743E3"/>
    <w:rsid w:val="0047454E"/>
    <w:rsid w:val="004747DC"/>
    <w:rsid w:val="00474CA7"/>
    <w:rsid w:val="00474E68"/>
    <w:rsid w:val="00475151"/>
    <w:rsid w:val="004755D1"/>
    <w:rsid w:val="004758ED"/>
    <w:rsid w:val="00475D58"/>
    <w:rsid w:val="0047616F"/>
    <w:rsid w:val="004768C1"/>
    <w:rsid w:val="00476D44"/>
    <w:rsid w:val="00476E31"/>
    <w:rsid w:val="004803EE"/>
    <w:rsid w:val="004806F2"/>
    <w:rsid w:val="004808BA"/>
    <w:rsid w:val="00480943"/>
    <w:rsid w:val="00480E00"/>
    <w:rsid w:val="00481177"/>
    <w:rsid w:val="00481180"/>
    <w:rsid w:val="00481618"/>
    <w:rsid w:val="00481620"/>
    <w:rsid w:val="0048175D"/>
    <w:rsid w:val="0048340C"/>
    <w:rsid w:val="004838AE"/>
    <w:rsid w:val="00483AAE"/>
    <w:rsid w:val="004848F2"/>
    <w:rsid w:val="00484981"/>
    <w:rsid w:val="00484B05"/>
    <w:rsid w:val="00484CE2"/>
    <w:rsid w:val="00484FB2"/>
    <w:rsid w:val="00485026"/>
    <w:rsid w:val="004850CC"/>
    <w:rsid w:val="00485211"/>
    <w:rsid w:val="0048563D"/>
    <w:rsid w:val="004856C9"/>
    <w:rsid w:val="00485F2D"/>
    <w:rsid w:val="0048608D"/>
    <w:rsid w:val="0048678E"/>
    <w:rsid w:val="00486960"/>
    <w:rsid w:val="0048697A"/>
    <w:rsid w:val="00486A20"/>
    <w:rsid w:val="00486AAF"/>
    <w:rsid w:val="00486FBC"/>
    <w:rsid w:val="00487174"/>
    <w:rsid w:val="004878B2"/>
    <w:rsid w:val="00487DDC"/>
    <w:rsid w:val="00490A33"/>
    <w:rsid w:val="00490AB6"/>
    <w:rsid w:val="00490C28"/>
    <w:rsid w:val="00490D45"/>
    <w:rsid w:val="00490E25"/>
    <w:rsid w:val="00490EC0"/>
    <w:rsid w:val="00491040"/>
    <w:rsid w:val="0049113B"/>
    <w:rsid w:val="004911E6"/>
    <w:rsid w:val="00491913"/>
    <w:rsid w:val="00491CD1"/>
    <w:rsid w:val="00491D65"/>
    <w:rsid w:val="00491FD5"/>
    <w:rsid w:val="004920C3"/>
    <w:rsid w:val="004922B8"/>
    <w:rsid w:val="0049235F"/>
    <w:rsid w:val="00492BE4"/>
    <w:rsid w:val="00492D4C"/>
    <w:rsid w:val="00492D4F"/>
    <w:rsid w:val="00492D79"/>
    <w:rsid w:val="004931F3"/>
    <w:rsid w:val="00493AE4"/>
    <w:rsid w:val="00493B5A"/>
    <w:rsid w:val="00494035"/>
    <w:rsid w:val="004943DF"/>
    <w:rsid w:val="00494433"/>
    <w:rsid w:val="00494616"/>
    <w:rsid w:val="00494A31"/>
    <w:rsid w:val="00494E8C"/>
    <w:rsid w:val="004951D8"/>
    <w:rsid w:val="004952FC"/>
    <w:rsid w:val="00495D68"/>
    <w:rsid w:val="004960AA"/>
    <w:rsid w:val="004970DB"/>
    <w:rsid w:val="00497290"/>
    <w:rsid w:val="00497F45"/>
    <w:rsid w:val="004A029E"/>
    <w:rsid w:val="004A1161"/>
    <w:rsid w:val="004A1AA4"/>
    <w:rsid w:val="004A2832"/>
    <w:rsid w:val="004A2EE3"/>
    <w:rsid w:val="004A30B3"/>
    <w:rsid w:val="004A3529"/>
    <w:rsid w:val="004A35E1"/>
    <w:rsid w:val="004A3755"/>
    <w:rsid w:val="004A386D"/>
    <w:rsid w:val="004A3881"/>
    <w:rsid w:val="004A3E71"/>
    <w:rsid w:val="004A3EB1"/>
    <w:rsid w:val="004A4204"/>
    <w:rsid w:val="004A4CC6"/>
    <w:rsid w:val="004A4CDD"/>
    <w:rsid w:val="004A5037"/>
    <w:rsid w:val="004A50BD"/>
    <w:rsid w:val="004A525A"/>
    <w:rsid w:val="004A566B"/>
    <w:rsid w:val="004A5726"/>
    <w:rsid w:val="004A575A"/>
    <w:rsid w:val="004A7026"/>
    <w:rsid w:val="004A7170"/>
    <w:rsid w:val="004A7237"/>
    <w:rsid w:val="004A72E8"/>
    <w:rsid w:val="004A732F"/>
    <w:rsid w:val="004A7502"/>
    <w:rsid w:val="004A79CE"/>
    <w:rsid w:val="004A7B55"/>
    <w:rsid w:val="004A7C7E"/>
    <w:rsid w:val="004A7D3C"/>
    <w:rsid w:val="004B0299"/>
    <w:rsid w:val="004B0308"/>
    <w:rsid w:val="004B07A1"/>
    <w:rsid w:val="004B0AA9"/>
    <w:rsid w:val="004B102E"/>
    <w:rsid w:val="004B1179"/>
    <w:rsid w:val="004B1479"/>
    <w:rsid w:val="004B14AB"/>
    <w:rsid w:val="004B14CB"/>
    <w:rsid w:val="004B188C"/>
    <w:rsid w:val="004B1B06"/>
    <w:rsid w:val="004B2161"/>
    <w:rsid w:val="004B2440"/>
    <w:rsid w:val="004B2745"/>
    <w:rsid w:val="004B2B1F"/>
    <w:rsid w:val="004B2CA1"/>
    <w:rsid w:val="004B2D1F"/>
    <w:rsid w:val="004B3114"/>
    <w:rsid w:val="004B326C"/>
    <w:rsid w:val="004B35F4"/>
    <w:rsid w:val="004B3701"/>
    <w:rsid w:val="004B3940"/>
    <w:rsid w:val="004B3B59"/>
    <w:rsid w:val="004B3CD7"/>
    <w:rsid w:val="004B3D60"/>
    <w:rsid w:val="004B3E43"/>
    <w:rsid w:val="004B3FBA"/>
    <w:rsid w:val="004B43B5"/>
    <w:rsid w:val="004B4422"/>
    <w:rsid w:val="004B4447"/>
    <w:rsid w:val="004B48B5"/>
    <w:rsid w:val="004B4A6B"/>
    <w:rsid w:val="004B4A78"/>
    <w:rsid w:val="004B4D3A"/>
    <w:rsid w:val="004B4DD6"/>
    <w:rsid w:val="004B4E39"/>
    <w:rsid w:val="004B4F8D"/>
    <w:rsid w:val="004B57DA"/>
    <w:rsid w:val="004B5912"/>
    <w:rsid w:val="004B598B"/>
    <w:rsid w:val="004B5AFB"/>
    <w:rsid w:val="004B5DC1"/>
    <w:rsid w:val="004B5F96"/>
    <w:rsid w:val="004B607E"/>
    <w:rsid w:val="004B6AAC"/>
    <w:rsid w:val="004B6B58"/>
    <w:rsid w:val="004B6EAC"/>
    <w:rsid w:val="004B70D5"/>
    <w:rsid w:val="004B74F0"/>
    <w:rsid w:val="004B78E0"/>
    <w:rsid w:val="004B7AA9"/>
    <w:rsid w:val="004B7C64"/>
    <w:rsid w:val="004C036F"/>
    <w:rsid w:val="004C0672"/>
    <w:rsid w:val="004C0B17"/>
    <w:rsid w:val="004C0C93"/>
    <w:rsid w:val="004C0D35"/>
    <w:rsid w:val="004C0DD9"/>
    <w:rsid w:val="004C10C5"/>
    <w:rsid w:val="004C1216"/>
    <w:rsid w:val="004C1327"/>
    <w:rsid w:val="004C14B0"/>
    <w:rsid w:val="004C1CB1"/>
    <w:rsid w:val="004C1CEF"/>
    <w:rsid w:val="004C1F66"/>
    <w:rsid w:val="004C1FDE"/>
    <w:rsid w:val="004C21B5"/>
    <w:rsid w:val="004C21D0"/>
    <w:rsid w:val="004C220D"/>
    <w:rsid w:val="004C2296"/>
    <w:rsid w:val="004C2587"/>
    <w:rsid w:val="004C29BD"/>
    <w:rsid w:val="004C3116"/>
    <w:rsid w:val="004C3BA2"/>
    <w:rsid w:val="004C3DEC"/>
    <w:rsid w:val="004C3F06"/>
    <w:rsid w:val="004C425F"/>
    <w:rsid w:val="004C43FB"/>
    <w:rsid w:val="004C4805"/>
    <w:rsid w:val="004C4C7F"/>
    <w:rsid w:val="004C4DA0"/>
    <w:rsid w:val="004C5746"/>
    <w:rsid w:val="004C5D39"/>
    <w:rsid w:val="004C5E67"/>
    <w:rsid w:val="004C6A9A"/>
    <w:rsid w:val="004C6AE6"/>
    <w:rsid w:val="004C6B6E"/>
    <w:rsid w:val="004C6E80"/>
    <w:rsid w:val="004C6FEF"/>
    <w:rsid w:val="004C7752"/>
    <w:rsid w:val="004C77C5"/>
    <w:rsid w:val="004C7DF1"/>
    <w:rsid w:val="004C7FBE"/>
    <w:rsid w:val="004D04CB"/>
    <w:rsid w:val="004D06D9"/>
    <w:rsid w:val="004D072A"/>
    <w:rsid w:val="004D0954"/>
    <w:rsid w:val="004D0FE8"/>
    <w:rsid w:val="004D11F7"/>
    <w:rsid w:val="004D1511"/>
    <w:rsid w:val="004D1753"/>
    <w:rsid w:val="004D196B"/>
    <w:rsid w:val="004D19E2"/>
    <w:rsid w:val="004D1D84"/>
    <w:rsid w:val="004D206A"/>
    <w:rsid w:val="004D218D"/>
    <w:rsid w:val="004D262D"/>
    <w:rsid w:val="004D2BCD"/>
    <w:rsid w:val="004D3414"/>
    <w:rsid w:val="004D3590"/>
    <w:rsid w:val="004D3843"/>
    <w:rsid w:val="004D38EA"/>
    <w:rsid w:val="004D38EC"/>
    <w:rsid w:val="004D3998"/>
    <w:rsid w:val="004D3BB7"/>
    <w:rsid w:val="004D3F34"/>
    <w:rsid w:val="004D40E2"/>
    <w:rsid w:val="004D4168"/>
    <w:rsid w:val="004D448A"/>
    <w:rsid w:val="004D47B5"/>
    <w:rsid w:val="004D4FCF"/>
    <w:rsid w:val="004D5274"/>
    <w:rsid w:val="004D5402"/>
    <w:rsid w:val="004D5437"/>
    <w:rsid w:val="004D58A4"/>
    <w:rsid w:val="004D59DC"/>
    <w:rsid w:val="004D624E"/>
    <w:rsid w:val="004D6972"/>
    <w:rsid w:val="004D69C3"/>
    <w:rsid w:val="004D6E15"/>
    <w:rsid w:val="004D7A3D"/>
    <w:rsid w:val="004D7FBA"/>
    <w:rsid w:val="004E01A1"/>
    <w:rsid w:val="004E074E"/>
    <w:rsid w:val="004E0A7B"/>
    <w:rsid w:val="004E0B2C"/>
    <w:rsid w:val="004E0F6E"/>
    <w:rsid w:val="004E1292"/>
    <w:rsid w:val="004E1A64"/>
    <w:rsid w:val="004E1CD5"/>
    <w:rsid w:val="004E1CE5"/>
    <w:rsid w:val="004E1CEF"/>
    <w:rsid w:val="004E2052"/>
    <w:rsid w:val="004E21F4"/>
    <w:rsid w:val="004E2207"/>
    <w:rsid w:val="004E33B8"/>
    <w:rsid w:val="004E3502"/>
    <w:rsid w:val="004E372C"/>
    <w:rsid w:val="004E3908"/>
    <w:rsid w:val="004E3F17"/>
    <w:rsid w:val="004E40FA"/>
    <w:rsid w:val="004E45DD"/>
    <w:rsid w:val="004E4755"/>
    <w:rsid w:val="004E4892"/>
    <w:rsid w:val="004E4FC8"/>
    <w:rsid w:val="004E50CD"/>
    <w:rsid w:val="004E53C3"/>
    <w:rsid w:val="004E5A40"/>
    <w:rsid w:val="004E5CA3"/>
    <w:rsid w:val="004E5D7F"/>
    <w:rsid w:val="004E62A1"/>
    <w:rsid w:val="004E62DE"/>
    <w:rsid w:val="004E66C0"/>
    <w:rsid w:val="004E6BFC"/>
    <w:rsid w:val="004E6F39"/>
    <w:rsid w:val="004E6F4E"/>
    <w:rsid w:val="004E6F85"/>
    <w:rsid w:val="004E7187"/>
    <w:rsid w:val="004E7191"/>
    <w:rsid w:val="004E7399"/>
    <w:rsid w:val="004E7695"/>
    <w:rsid w:val="004E7737"/>
    <w:rsid w:val="004E7CF8"/>
    <w:rsid w:val="004F0085"/>
    <w:rsid w:val="004F02EB"/>
    <w:rsid w:val="004F06ED"/>
    <w:rsid w:val="004F072C"/>
    <w:rsid w:val="004F0D81"/>
    <w:rsid w:val="004F0E8C"/>
    <w:rsid w:val="004F14FD"/>
    <w:rsid w:val="004F173D"/>
    <w:rsid w:val="004F1AD5"/>
    <w:rsid w:val="004F1C7D"/>
    <w:rsid w:val="004F1F89"/>
    <w:rsid w:val="004F26E6"/>
    <w:rsid w:val="004F2B33"/>
    <w:rsid w:val="004F2E43"/>
    <w:rsid w:val="004F2EAB"/>
    <w:rsid w:val="004F3B33"/>
    <w:rsid w:val="004F3FD8"/>
    <w:rsid w:val="004F41A4"/>
    <w:rsid w:val="004F4225"/>
    <w:rsid w:val="004F4255"/>
    <w:rsid w:val="004F434C"/>
    <w:rsid w:val="004F4415"/>
    <w:rsid w:val="004F4449"/>
    <w:rsid w:val="004F46D4"/>
    <w:rsid w:val="004F4759"/>
    <w:rsid w:val="004F4E14"/>
    <w:rsid w:val="004F5098"/>
    <w:rsid w:val="004F5831"/>
    <w:rsid w:val="004F58BC"/>
    <w:rsid w:val="004F5D8C"/>
    <w:rsid w:val="004F5F21"/>
    <w:rsid w:val="004F61C4"/>
    <w:rsid w:val="004F62F5"/>
    <w:rsid w:val="004F633C"/>
    <w:rsid w:val="004F64AF"/>
    <w:rsid w:val="004F6714"/>
    <w:rsid w:val="004F6982"/>
    <w:rsid w:val="004F6C8B"/>
    <w:rsid w:val="004F6CB4"/>
    <w:rsid w:val="004F705C"/>
    <w:rsid w:val="004F7190"/>
    <w:rsid w:val="004F77BB"/>
    <w:rsid w:val="004F77EB"/>
    <w:rsid w:val="004F7F44"/>
    <w:rsid w:val="00500054"/>
    <w:rsid w:val="005009A7"/>
    <w:rsid w:val="00500BC8"/>
    <w:rsid w:val="00500E8E"/>
    <w:rsid w:val="0050102B"/>
    <w:rsid w:val="00501339"/>
    <w:rsid w:val="00501811"/>
    <w:rsid w:val="00501F81"/>
    <w:rsid w:val="00502954"/>
    <w:rsid w:val="00502A01"/>
    <w:rsid w:val="00502EBA"/>
    <w:rsid w:val="00503209"/>
    <w:rsid w:val="0050321C"/>
    <w:rsid w:val="00503259"/>
    <w:rsid w:val="005032A1"/>
    <w:rsid w:val="00503DEC"/>
    <w:rsid w:val="0050454C"/>
    <w:rsid w:val="005048FB"/>
    <w:rsid w:val="00504FC7"/>
    <w:rsid w:val="00505272"/>
    <w:rsid w:val="0050548F"/>
    <w:rsid w:val="0050560E"/>
    <w:rsid w:val="005057A8"/>
    <w:rsid w:val="005059AE"/>
    <w:rsid w:val="00505D0E"/>
    <w:rsid w:val="00505DF4"/>
    <w:rsid w:val="00505FA4"/>
    <w:rsid w:val="005062EE"/>
    <w:rsid w:val="0050634D"/>
    <w:rsid w:val="00506827"/>
    <w:rsid w:val="00506BBE"/>
    <w:rsid w:val="00506D10"/>
    <w:rsid w:val="005070B2"/>
    <w:rsid w:val="005073A0"/>
    <w:rsid w:val="0050782D"/>
    <w:rsid w:val="00507AE5"/>
    <w:rsid w:val="00507CA0"/>
    <w:rsid w:val="005103B0"/>
    <w:rsid w:val="00510E2D"/>
    <w:rsid w:val="00510F88"/>
    <w:rsid w:val="005112D2"/>
    <w:rsid w:val="0051162B"/>
    <w:rsid w:val="00511829"/>
    <w:rsid w:val="00511A72"/>
    <w:rsid w:val="00511E28"/>
    <w:rsid w:val="00511E3C"/>
    <w:rsid w:val="00511EC1"/>
    <w:rsid w:val="00512A86"/>
    <w:rsid w:val="00512D4D"/>
    <w:rsid w:val="0051324D"/>
    <w:rsid w:val="00513669"/>
    <w:rsid w:val="005139D3"/>
    <w:rsid w:val="00513AF5"/>
    <w:rsid w:val="00513FC2"/>
    <w:rsid w:val="005142DF"/>
    <w:rsid w:val="00514345"/>
    <w:rsid w:val="00514F27"/>
    <w:rsid w:val="005150DC"/>
    <w:rsid w:val="005153BE"/>
    <w:rsid w:val="0051595C"/>
    <w:rsid w:val="00515D13"/>
    <w:rsid w:val="005165B1"/>
    <w:rsid w:val="005169FD"/>
    <w:rsid w:val="00516BD7"/>
    <w:rsid w:val="00516E58"/>
    <w:rsid w:val="00516EA2"/>
    <w:rsid w:val="005170F3"/>
    <w:rsid w:val="005176E6"/>
    <w:rsid w:val="005176F0"/>
    <w:rsid w:val="00517964"/>
    <w:rsid w:val="00517CE6"/>
    <w:rsid w:val="00520363"/>
    <w:rsid w:val="00520614"/>
    <w:rsid w:val="00520F6E"/>
    <w:rsid w:val="00521A38"/>
    <w:rsid w:val="00521BC7"/>
    <w:rsid w:val="00521F0B"/>
    <w:rsid w:val="00522294"/>
    <w:rsid w:val="005223B3"/>
    <w:rsid w:val="00522C53"/>
    <w:rsid w:val="00522D95"/>
    <w:rsid w:val="00522E99"/>
    <w:rsid w:val="00523376"/>
    <w:rsid w:val="00523D96"/>
    <w:rsid w:val="00524159"/>
    <w:rsid w:val="005248AC"/>
    <w:rsid w:val="005248F1"/>
    <w:rsid w:val="00524E96"/>
    <w:rsid w:val="00525208"/>
    <w:rsid w:val="00525417"/>
    <w:rsid w:val="00525621"/>
    <w:rsid w:val="00525855"/>
    <w:rsid w:val="005258A5"/>
    <w:rsid w:val="005258AB"/>
    <w:rsid w:val="00525B83"/>
    <w:rsid w:val="00525DBB"/>
    <w:rsid w:val="00526585"/>
    <w:rsid w:val="005266C7"/>
    <w:rsid w:val="00526988"/>
    <w:rsid w:val="005273FD"/>
    <w:rsid w:val="0052763B"/>
    <w:rsid w:val="00527651"/>
    <w:rsid w:val="00527963"/>
    <w:rsid w:val="00527C65"/>
    <w:rsid w:val="00527C9E"/>
    <w:rsid w:val="005301A0"/>
    <w:rsid w:val="00530370"/>
    <w:rsid w:val="00530C9B"/>
    <w:rsid w:val="00530F6B"/>
    <w:rsid w:val="00531486"/>
    <w:rsid w:val="005314FB"/>
    <w:rsid w:val="00531FBB"/>
    <w:rsid w:val="00532289"/>
    <w:rsid w:val="00532EED"/>
    <w:rsid w:val="0053319A"/>
    <w:rsid w:val="0053348B"/>
    <w:rsid w:val="00533B2C"/>
    <w:rsid w:val="00533E74"/>
    <w:rsid w:val="00533EB1"/>
    <w:rsid w:val="0053429C"/>
    <w:rsid w:val="005343A7"/>
    <w:rsid w:val="005343EF"/>
    <w:rsid w:val="00534759"/>
    <w:rsid w:val="0053475F"/>
    <w:rsid w:val="00534E23"/>
    <w:rsid w:val="00535051"/>
    <w:rsid w:val="005356F3"/>
    <w:rsid w:val="00535748"/>
    <w:rsid w:val="0053582D"/>
    <w:rsid w:val="00535F49"/>
    <w:rsid w:val="00536721"/>
    <w:rsid w:val="005369F5"/>
    <w:rsid w:val="0053763E"/>
    <w:rsid w:val="005376ED"/>
    <w:rsid w:val="00537B38"/>
    <w:rsid w:val="00540085"/>
    <w:rsid w:val="00540462"/>
    <w:rsid w:val="0054071A"/>
    <w:rsid w:val="00540C07"/>
    <w:rsid w:val="00540CE6"/>
    <w:rsid w:val="00540F57"/>
    <w:rsid w:val="00541552"/>
    <w:rsid w:val="005417F4"/>
    <w:rsid w:val="0054213E"/>
    <w:rsid w:val="005425C9"/>
    <w:rsid w:val="00542BDD"/>
    <w:rsid w:val="00542F21"/>
    <w:rsid w:val="005430D2"/>
    <w:rsid w:val="0054314C"/>
    <w:rsid w:val="0054335F"/>
    <w:rsid w:val="00543EF0"/>
    <w:rsid w:val="005440E0"/>
    <w:rsid w:val="00544271"/>
    <w:rsid w:val="0054438A"/>
    <w:rsid w:val="00544413"/>
    <w:rsid w:val="005444C4"/>
    <w:rsid w:val="0054466A"/>
    <w:rsid w:val="00544C16"/>
    <w:rsid w:val="00544C6F"/>
    <w:rsid w:val="005451CC"/>
    <w:rsid w:val="005456C3"/>
    <w:rsid w:val="005459BD"/>
    <w:rsid w:val="00545DB8"/>
    <w:rsid w:val="005460FA"/>
    <w:rsid w:val="005462A2"/>
    <w:rsid w:val="00546604"/>
    <w:rsid w:val="00546BCA"/>
    <w:rsid w:val="00546D85"/>
    <w:rsid w:val="00546D9E"/>
    <w:rsid w:val="00547403"/>
    <w:rsid w:val="00547483"/>
    <w:rsid w:val="0054758F"/>
    <w:rsid w:val="005476AC"/>
    <w:rsid w:val="00547726"/>
    <w:rsid w:val="0054778C"/>
    <w:rsid w:val="005477A6"/>
    <w:rsid w:val="00547FB9"/>
    <w:rsid w:val="00550184"/>
    <w:rsid w:val="005502D1"/>
    <w:rsid w:val="0055033C"/>
    <w:rsid w:val="00550491"/>
    <w:rsid w:val="005505BD"/>
    <w:rsid w:val="00550D09"/>
    <w:rsid w:val="00550EF9"/>
    <w:rsid w:val="0055106E"/>
    <w:rsid w:val="005519F9"/>
    <w:rsid w:val="00551B7C"/>
    <w:rsid w:val="00551EF4"/>
    <w:rsid w:val="00551FE4"/>
    <w:rsid w:val="00552270"/>
    <w:rsid w:val="005523E5"/>
    <w:rsid w:val="00552455"/>
    <w:rsid w:val="00552538"/>
    <w:rsid w:val="005525AC"/>
    <w:rsid w:val="00552620"/>
    <w:rsid w:val="00552EE8"/>
    <w:rsid w:val="00553308"/>
    <w:rsid w:val="0055334E"/>
    <w:rsid w:val="00553761"/>
    <w:rsid w:val="00553878"/>
    <w:rsid w:val="00553A18"/>
    <w:rsid w:val="00553EC2"/>
    <w:rsid w:val="00554920"/>
    <w:rsid w:val="005549BD"/>
    <w:rsid w:val="00554BD7"/>
    <w:rsid w:val="0055502F"/>
    <w:rsid w:val="0055503A"/>
    <w:rsid w:val="00555167"/>
    <w:rsid w:val="00555479"/>
    <w:rsid w:val="005557CF"/>
    <w:rsid w:val="00555A75"/>
    <w:rsid w:val="00555FA0"/>
    <w:rsid w:val="00556015"/>
    <w:rsid w:val="00556052"/>
    <w:rsid w:val="0055615B"/>
    <w:rsid w:val="005564E2"/>
    <w:rsid w:val="0055689B"/>
    <w:rsid w:val="00556914"/>
    <w:rsid w:val="00556939"/>
    <w:rsid w:val="00556A0D"/>
    <w:rsid w:val="00556A1D"/>
    <w:rsid w:val="00556C6C"/>
    <w:rsid w:val="00556DB1"/>
    <w:rsid w:val="00556FC2"/>
    <w:rsid w:val="005571B0"/>
    <w:rsid w:val="0055769F"/>
    <w:rsid w:val="00557CF3"/>
    <w:rsid w:val="00557EC1"/>
    <w:rsid w:val="00557F8C"/>
    <w:rsid w:val="005601A5"/>
    <w:rsid w:val="0056054C"/>
    <w:rsid w:val="00560C46"/>
    <w:rsid w:val="0056146F"/>
    <w:rsid w:val="00561E07"/>
    <w:rsid w:val="00562532"/>
    <w:rsid w:val="00562DE0"/>
    <w:rsid w:val="00562EEA"/>
    <w:rsid w:val="0056312E"/>
    <w:rsid w:val="00563EA7"/>
    <w:rsid w:val="005645E7"/>
    <w:rsid w:val="005648C4"/>
    <w:rsid w:val="00564E19"/>
    <w:rsid w:val="005650BB"/>
    <w:rsid w:val="00565114"/>
    <w:rsid w:val="0056530D"/>
    <w:rsid w:val="0056540A"/>
    <w:rsid w:val="00565891"/>
    <w:rsid w:val="00565A1A"/>
    <w:rsid w:val="00565E47"/>
    <w:rsid w:val="00566013"/>
    <w:rsid w:val="005662AB"/>
    <w:rsid w:val="005663EF"/>
    <w:rsid w:val="00567285"/>
    <w:rsid w:val="005674BC"/>
    <w:rsid w:val="00567512"/>
    <w:rsid w:val="0056755F"/>
    <w:rsid w:val="005677E2"/>
    <w:rsid w:val="0056787D"/>
    <w:rsid w:val="00567C86"/>
    <w:rsid w:val="00567F2F"/>
    <w:rsid w:val="0057007B"/>
    <w:rsid w:val="00570144"/>
    <w:rsid w:val="0057037A"/>
    <w:rsid w:val="0057074D"/>
    <w:rsid w:val="00570946"/>
    <w:rsid w:val="00570D55"/>
    <w:rsid w:val="00570E94"/>
    <w:rsid w:val="0057114E"/>
    <w:rsid w:val="0057198D"/>
    <w:rsid w:val="00571A05"/>
    <w:rsid w:val="00571B94"/>
    <w:rsid w:val="00572109"/>
    <w:rsid w:val="00572243"/>
    <w:rsid w:val="00572454"/>
    <w:rsid w:val="00572997"/>
    <w:rsid w:val="005730F0"/>
    <w:rsid w:val="0057342F"/>
    <w:rsid w:val="0057353F"/>
    <w:rsid w:val="005737F8"/>
    <w:rsid w:val="00573A4B"/>
    <w:rsid w:val="00573F03"/>
    <w:rsid w:val="005742EA"/>
    <w:rsid w:val="0057465C"/>
    <w:rsid w:val="00574692"/>
    <w:rsid w:val="0057485C"/>
    <w:rsid w:val="005748E4"/>
    <w:rsid w:val="005749AD"/>
    <w:rsid w:val="00574C82"/>
    <w:rsid w:val="00574D4D"/>
    <w:rsid w:val="00575765"/>
    <w:rsid w:val="00575CEA"/>
    <w:rsid w:val="00575D3B"/>
    <w:rsid w:val="00576028"/>
    <w:rsid w:val="0057609B"/>
    <w:rsid w:val="005761DE"/>
    <w:rsid w:val="00576CE5"/>
    <w:rsid w:val="00576DDC"/>
    <w:rsid w:val="00576EC6"/>
    <w:rsid w:val="00576F48"/>
    <w:rsid w:val="00577008"/>
    <w:rsid w:val="005771A1"/>
    <w:rsid w:val="00577493"/>
    <w:rsid w:val="005774F0"/>
    <w:rsid w:val="005775B7"/>
    <w:rsid w:val="00577BAA"/>
    <w:rsid w:val="00577ED4"/>
    <w:rsid w:val="00577F9C"/>
    <w:rsid w:val="005803B5"/>
    <w:rsid w:val="005804D4"/>
    <w:rsid w:val="005809DF"/>
    <w:rsid w:val="00580BAD"/>
    <w:rsid w:val="00580EC6"/>
    <w:rsid w:val="005811E5"/>
    <w:rsid w:val="0058123D"/>
    <w:rsid w:val="00581307"/>
    <w:rsid w:val="0058139A"/>
    <w:rsid w:val="00581445"/>
    <w:rsid w:val="0058194C"/>
    <w:rsid w:val="005819DF"/>
    <w:rsid w:val="00581A1B"/>
    <w:rsid w:val="00581CF0"/>
    <w:rsid w:val="00581F34"/>
    <w:rsid w:val="0058258B"/>
    <w:rsid w:val="00582756"/>
    <w:rsid w:val="00582A08"/>
    <w:rsid w:val="00582AA8"/>
    <w:rsid w:val="00582C96"/>
    <w:rsid w:val="00582EAA"/>
    <w:rsid w:val="00583060"/>
    <w:rsid w:val="005832DC"/>
    <w:rsid w:val="0058355E"/>
    <w:rsid w:val="00583693"/>
    <w:rsid w:val="00584030"/>
    <w:rsid w:val="0058478B"/>
    <w:rsid w:val="00584A8F"/>
    <w:rsid w:val="00585024"/>
    <w:rsid w:val="00585083"/>
    <w:rsid w:val="005850C8"/>
    <w:rsid w:val="00585255"/>
    <w:rsid w:val="0058563D"/>
    <w:rsid w:val="0058564E"/>
    <w:rsid w:val="00585740"/>
    <w:rsid w:val="00585AD3"/>
    <w:rsid w:val="00585B6D"/>
    <w:rsid w:val="00585CCE"/>
    <w:rsid w:val="00585E21"/>
    <w:rsid w:val="00585ED0"/>
    <w:rsid w:val="00586BFC"/>
    <w:rsid w:val="00586CD1"/>
    <w:rsid w:val="00587178"/>
    <w:rsid w:val="005874A1"/>
    <w:rsid w:val="005875EB"/>
    <w:rsid w:val="00587B59"/>
    <w:rsid w:val="00587C00"/>
    <w:rsid w:val="005902CE"/>
    <w:rsid w:val="005905AB"/>
    <w:rsid w:val="005905C4"/>
    <w:rsid w:val="00590B35"/>
    <w:rsid w:val="00590B87"/>
    <w:rsid w:val="00590D1E"/>
    <w:rsid w:val="00590F83"/>
    <w:rsid w:val="00591EA5"/>
    <w:rsid w:val="005925AA"/>
    <w:rsid w:val="00592A92"/>
    <w:rsid w:val="00592C81"/>
    <w:rsid w:val="0059301E"/>
    <w:rsid w:val="005931B7"/>
    <w:rsid w:val="00593405"/>
    <w:rsid w:val="005941A6"/>
    <w:rsid w:val="005941E3"/>
    <w:rsid w:val="005952CF"/>
    <w:rsid w:val="00595751"/>
    <w:rsid w:val="00595760"/>
    <w:rsid w:val="00595BBD"/>
    <w:rsid w:val="00596583"/>
    <w:rsid w:val="0059661B"/>
    <w:rsid w:val="005967F0"/>
    <w:rsid w:val="00596A9B"/>
    <w:rsid w:val="00596C6E"/>
    <w:rsid w:val="00596E53"/>
    <w:rsid w:val="00597112"/>
    <w:rsid w:val="005974CB"/>
    <w:rsid w:val="00597C61"/>
    <w:rsid w:val="005A01E5"/>
    <w:rsid w:val="005A03B3"/>
    <w:rsid w:val="005A0445"/>
    <w:rsid w:val="005A0B63"/>
    <w:rsid w:val="005A0C2F"/>
    <w:rsid w:val="005A0FA2"/>
    <w:rsid w:val="005A1570"/>
    <w:rsid w:val="005A1627"/>
    <w:rsid w:val="005A1EC2"/>
    <w:rsid w:val="005A2049"/>
    <w:rsid w:val="005A2195"/>
    <w:rsid w:val="005A2240"/>
    <w:rsid w:val="005A2E27"/>
    <w:rsid w:val="005A30B9"/>
    <w:rsid w:val="005A34A7"/>
    <w:rsid w:val="005A3506"/>
    <w:rsid w:val="005A378A"/>
    <w:rsid w:val="005A38E8"/>
    <w:rsid w:val="005A3CF8"/>
    <w:rsid w:val="005A4007"/>
    <w:rsid w:val="005A42CF"/>
    <w:rsid w:val="005A446C"/>
    <w:rsid w:val="005A4554"/>
    <w:rsid w:val="005A4985"/>
    <w:rsid w:val="005A4B65"/>
    <w:rsid w:val="005A5387"/>
    <w:rsid w:val="005A5EE5"/>
    <w:rsid w:val="005A60C9"/>
    <w:rsid w:val="005A6B37"/>
    <w:rsid w:val="005A6B80"/>
    <w:rsid w:val="005A742D"/>
    <w:rsid w:val="005A7D48"/>
    <w:rsid w:val="005B002C"/>
    <w:rsid w:val="005B03F9"/>
    <w:rsid w:val="005B0799"/>
    <w:rsid w:val="005B0D0D"/>
    <w:rsid w:val="005B10F5"/>
    <w:rsid w:val="005B1CA4"/>
    <w:rsid w:val="005B1E32"/>
    <w:rsid w:val="005B210E"/>
    <w:rsid w:val="005B269A"/>
    <w:rsid w:val="005B2B0D"/>
    <w:rsid w:val="005B322B"/>
    <w:rsid w:val="005B34ED"/>
    <w:rsid w:val="005B3A19"/>
    <w:rsid w:val="005B40C2"/>
    <w:rsid w:val="005B452A"/>
    <w:rsid w:val="005B478B"/>
    <w:rsid w:val="005B4843"/>
    <w:rsid w:val="005B5136"/>
    <w:rsid w:val="005B5247"/>
    <w:rsid w:val="005B543F"/>
    <w:rsid w:val="005B58D1"/>
    <w:rsid w:val="005B5BCE"/>
    <w:rsid w:val="005B5CC5"/>
    <w:rsid w:val="005B5F55"/>
    <w:rsid w:val="005B62D6"/>
    <w:rsid w:val="005B637F"/>
    <w:rsid w:val="005B6C04"/>
    <w:rsid w:val="005B6E59"/>
    <w:rsid w:val="005B705D"/>
    <w:rsid w:val="005B71DA"/>
    <w:rsid w:val="005B7230"/>
    <w:rsid w:val="005B76B5"/>
    <w:rsid w:val="005B7DB8"/>
    <w:rsid w:val="005B7F88"/>
    <w:rsid w:val="005C02E4"/>
    <w:rsid w:val="005C044E"/>
    <w:rsid w:val="005C0450"/>
    <w:rsid w:val="005C0467"/>
    <w:rsid w:val="005C04D6"/>
    <w:rsid w:val="005C0642"/>
    <w:rsid w:val="005C07E1"/>
    <w:rsid w:val="005C0936"/>
    <w:rsid w:val="005C0B1A"/>
    <w:rsid w:val="005C1829"/>
    <w:rsid w:val="005C18E7"/>
    <w:rsid w:val="005C1A03"/>
    <w:rsid w:val="005C228B"/>
    <w:rsid w:val="005C273E"/>
    <w:rsid w:val="005C2BA1"/>
    <w:rsid w:val="005C2E15"/>
    <w:rsid w:val="005C324B"/>
    <w:rsid w:val="005C3253"/>
    <w:rsid w:val="005C38C2"/>
    <w:rsid w:val="005C3B49"/>
    <w:rsid w:val="005C3EDE"/>
    <w:rsid w:val="005C3F88"/>
    <w:rsid w:val="005C401F"/>
    <w:rsid w:val="005C457D"/>
    <w:rsid w:val="005C49CD"/>
    <w:rsid w:val="005C4A17"/>
    <w:rsid w:val="005C4B7B"/>
    <w:rsid w:val="005C4DA2"/>
    <w:rsid w:val="005C4DD8"/>
    <w:rsid w:val="005C50F6"/>
    <w:rsid w:val="005C527D"/>
    <w:rsid w:val="005C5FBB"/>
    <w:rsid w:val="005C5FD6"/>
    <w:rsid w:val="005C6039"/>
    <w:rsid w:val="005C65E0"/>
    <w:rsid w:val="005C66D7"/>
    <w:rsid w:val="005C674F"/>
    <w:rsid w:val="005C7438"/>
    <w:rsid w:val="005C772D"/>
    <w:rsid w:val="005C7799"/>
    <w:rsid w:val="005C7AC1"/>
    <w:rsid w:val="005D026F"/>
    <w:rsid w:val="005D039D"/>
    <w:rsid w:val="005D058D"/>
    <w:rsid w:val="005D0A43"/>
    <w:rsid w:val="005D125D"/>
    <w:rsid w:val="005D1436"/>
    <w:rsid w:val="005D1524"/>
    <w:rsid w:val="005D15B1"/>
    <w:rsid w:val="005D163D"/>
    <w:rsid w:val="005D199A"/>
    <w:rsid w:val="005D29E3"/>
    <w:rsid w:val="005D31B9"/>
    <w:rsid w:val="005D3338"/>
    <w:rsid w:val="005D3CB1"/>
    <w:rsid w:val="005D3DCD"/>
    <w:rsid w:val="005D3EE9"/>
    <w:rsid w:val="005D4343"/>
    <w:rsid w:val="005D44CC"/>
    <w:rsid w:val="005D4A60"/>
    <w:rsid w:val="005D4B4F"/>
    <w:rsid w:val="005D4CF7"/>
    <w:rsid w:val="005D5798"/>
    <w:rsid w:val="005D5A1D"/>
    <w:rsid w:val="005D6B7C"/>
    <w:rsid w:val="005D73AB"/>
    <w:rsid w:val="005D73ED"/>
    <w:rsid w:val="005D7714"/>
    <w:rsid w:val="005D7821"/>
    <w:rsid w:val="005D7EDF"/>
    <w:rsid w:val="005E0290"/>
    <w:rsid w:val="005E056C"/>
    <w:rsid w:val="005E0B1B"/>
    <w:rsid w:val="005E1042"/>
    <w:rsid w:val="005E1D46"/>
    <w:rsid w:val="005E1D89"/>
    <w:rsid w:val="005E1FBB"/>
    <w:rsid w:val="005E2828"/>
    <w:rsid w:val="005E2B65"/>
    <w:rsid w:val="005E3564"/>
    <w:rsid w:val="005E3613"/>
    <w:rsid w:val="005E3DF7"/>
    <w:rsid w:val="005E3EF7"/>
    <w:rsid w:val="005E446E"/>
    <w:rsid w:val="005E4692"/>
    <w:rsid w:val="005E4F16"/>
    <w:rsid w:val="005E51AB"/>
    <w:rsid w:val="005E51D2"/>
    <w:rsid w:val="005E51D6"/>
    <w:rsid w:val="005E526F"/>
    <w:rsid w:val="005E531D"/>
    <w:rsid w:val="005E55CE"/>
    <w:rsid w:val="005E58E4"/>
    <w:rsid w:val="005E66AC"/>
    <w:rsid w:val="005E7038"/>
    <w:rsid w:val="005F0767"/>
    <w:rsid w:val="005F0874"/>
    <w:rsid w:val="005F0A01"/>
    <w:rsid w:val="005F0DE0"/>
    <w:rsid w:val="005F0EAE"/>
    <w:rsid w:val="005F0EC1"/>
    <w:rsid w:val="005F0FAC"/>
    <w:rsid w:val="005F184A"/>
    <w:rsid w:val="005F1876"/>
    <w:rsid w:val="005F1B75"/>
    <w:rsid w:val="005F1E9D"/>
    <w:rsid w:val="005F1EAC"/>
    <w:rsid w:val="005F211F"/>
    <w:rsid w:val="005F25C9"/>
    <w:rsid w:val="005F2B4E"/>
    <w:rsid w:val="005F2BD9"/>
    <w:rsid w:val="005F2E36"/>
    <w:rsid w:val="005F334A"/>
    <w:rsid w:val="005F338F"/>
    <w:rsid w:val="005F33D1"/>
    <w:rsid w:val="005F435C"/>
    <w:rsid w:val="005F4380"/>
    <w:rsid w:val="005F448E"/>
    <w:rsid w:val="005F4BD4"/>
    <w:rsid w:val="005F52CA"/>
    <w:rsid w:val="005F53D0"/>
    <w:rsid w:val="005F55A4"/>
    <w:rsid w:val="005F5B0C"/>
    <w:rsid w:val="005F5F85"/>
    <w:rsid w:val="005F5FAF"/>
    <w:rsid w:val="005F6159"/>
    <w:rsid w:val="005F6163"/>
    <w:rsid w:val="005F62B7"/>
    <w:rsid w:val="005F63C1"/>
    <w:rsid w:val="005F66C9"/>
    <w:rsid w:val="005F7145"/>
    <w:rsid w:val="005F7436"/>
    <w:rsid w:val="005F74FC"/>
    <w:rsid w:val="005F7A4F"/>
    <w:rsid w:val="00600488"/>
    <w:rsid w:val="006007C2"/>
    <w:rsid w:val="0060091D"/>
    <w:rsid w:val="00600EE4"/>
    <w:rsid w:val="0060107B"/>
    <w:rsid w:val="00601224"/>
    <w:rsid w:val="006015BF"/>
    <w:rsid w:val="006023CF"/>
    <w:rsid w:val="006023DE"/>
    <w:rsid w:val="006026F3"/>
    <w:rsid w:val="006028DA"/>
    <w:rsid w:val="00602934"/>
    <w:rsid w:val="00602B8E"/>
    <w:rsid w:val="00602CA3"/>
    <w:rsid w:val="00603C24"/>
    <w:rsid w:val="00603ED9"/>
    <w:rsid w:val="00603FC6"/>
    <w:rsid w:val="006043F1"/>
    <w:rsid w:val="006048DB"/>
    <w:rsid w:val="006048E8"/>
    <w:rsid w:val="006053C2"/>
    <w:rsid w:val="00605DA9"/>
    <w:rsid w:val="00606C1A"/>
    <w:rsid w:val="006103E3"/>
    <w:rsid w:val="006103EA"/>
    <w:rsid w:val="00610A12"/>
    <w:rsid w:val="00610B19"/>
    <w:rsid w:val="00610E2E"/>
    <w:rsid w:val="00611053"/>
    <w:rsid w:val="006112C0"/>
    <w:rsid w:val="00611532"/>
    <w:rsid w:val="006115B0"/>
    <w:rsid w:val="0061182F"/>
    <w:rsid w:val="0061217C"/>
    <w:rsid w:val="0061273C"/>
    <w:rsid w:val="00612C40"/>
    <w:rsid w:val="00613410"/>
    <w:rsid w:val="00613AA8"/>
    <w:rsid w:val="00613FDF"/>
    <w:rsid w:val="00614001"/>
    <w:rsid w:val="0061431E"/>
    <w:rsid w:val="00614482"/>
    <w:rsid w:val="00614715"/>
    <w:rsid w:val="00614BB0"/>
    <w:rsid w:val="006154E4"/>
    <w:rsid w:val="00615F06"/>
    <w:rsid w:val="00616087"/>
    <w:rsid w:val="006160DF"/>
    <w:rsid w:val="0061618C"/>
    <w:rsid w:val="0061628D"/>
    <w:rsid w:val="00616607"/>
    <w:rsid w:val="00616A68"/>
    <w:rsid w:val="00616E6F"/>
    <w:rsid w:val="00617592"/>
    <w:rsid w:val="00617884"/>
    <w:rsid w:val="00617A34"/>
    <w:rsid w:val="00617CA4"/>
    <w:rsid w:val="0062037A"/>
    <w:rsid w:val="006203D2"/>
    <w:rsid w:val="00620AAF"/>
    <w:rsid w:val="00620BAD"/>
    <w:rsid w:val="00621A1B"/>
    <w:rsid w:val="00621BFF"/>
    <w:rsid w:val="00621C49"/>
    <w:rsid w:val="0062254C"/>
    <w:rsid w:val="00622A20"/>
    <w:rsid w:val="00622B0A"/>
    <w:rsid w:val="00622B8E"/>
    <w:rsid w:val="00622C55"/>
    <w:rsid w:val="00622DBB"/>
    <w:rsid w:val="00623427"/>
    <w:rsid w:val="00623601"/>
    <w:rsid w:val="00623A42"/>
    <w:rsid w:val="00623D0F"/>
    <w:rsid w:val="006241A5"/>
    <w:rsid w:val="0062456D"/>
    <w:rsid w:val="00624597"/>
    <w:rsid w:val="006246BF"/>
    <w:rsid w:val="00624B3B"/>
    <w:rsid w:val="00624FE5"/>
    <w:rsid w:val="006252E0"/>
    <w:rsid w:val="006254DF"/>
    <w:rsid w:val="00625D1B"/>
    <w:rsid w:val="0062759A"/>
    <w:rsid w:val="00627796"/>
    <w:rsid w:val="00627840"/>
    <w:rsid w:val="00627B16"/>
    <w:rsid w:val="006306DB"/>
    <w:rsid w:val="006307E8"/>
    <w:rsid w:val="006307F8"/>
    <w:rsid w:val="00630A79"/>
    <w:rsid w:val="00630D57"/>
    <w:rsid w:val="00630DE9"/>
    <w:rsid w:val="006312CE"/>
    <w:rsid w:val="00631802"/>
    <w:rsid w:val="00631BC8"/>
    <w:rsid w:val="00631E81"/>
    <w:rsid w:val="006322C1"/>
    <w:rsid w:val="0063281D"/>
    <w:rsid w:val="006328CA"/>
    <w:rsid w:val="00632A6F"/>
    <w:rsid w:val="00632BBE"/>
    <w:rsid w:val="00632BF3"/>
    <w:rsid w:val="00632E2F"/>
    <w:rsid w:val="00632E51"/>
    <w:rsid w:val="00632F4A"/>
    <w:rsid w:val="0063318C"/>
    <w:rsid w:val="00633633"/>
    <w:rsid w:val="006336D3"/>
    <w:rsid w:val="006337E0"/>
    <w:rsid w:val="00633974"/>
    <w:rsid w:val="00633A55"/>
    <w:rsid w:val="00633C98"/>
    <w:rsid w:val="006345FA"/>
    <w:rsid w:val="00634814"/>
    <w:rsid w:val="0063496F"/>
    <w:rsid w:val="00634992"/>
    <w:rsid w:val="006349AF"/>
    <w:rsid w:val="006349F9"/>
    <w:rsid w:val="00634F27"/>
    <w:rsid w:val="00635276"/>
    <w:rsid w:val="00635AC6"/>
    <w:rsid w:val="00635DB5"/>
    <w:rsid w:val="0063626B"/>
    <w:rsid w:val="006363EF"/>
    <w:rsid w:val="00636C8B"/>
    <w:rsid w:val="00636D8C"/>
    <w:rsid w:val="00636FF6"/>
    <w:rsid w:val="00637360"/>
    <w:rsid w:val="00637681"/>
    <w:rsid w:val="006379B2"/>
    <w:rsid w:val="00637ACE"/>
    <w:rsid w:val="006405D5"/>
    <w:rsid w:val="00640E8F"/>
    <w:rsid w:val="00641203"/>
    <w:rsid w:val="006416D3"/>
    <w:rsid w:val="0064179B"/>
    <w:rsid w:val="006419CD"/>
    <w:rsid w:val="00641D3E"/>
    <w:rsid w:val="00641F04"/>
    <w:rsid w:val="00641FE1"/>
    <w:rsid w:val="00642537"/>
    <w:rsid w:val="006425AD"/>
    <w:rsid w:val="006426BB"/>
    <w:rsid w:val="006431E9"/>
    <w:rsid w:val="00643224"/>
    <w:rsid w:val="00643AD7"/>
    <w:rsid w:val="00643AF0"/>
    <w:rsid w:val="00643CD7"/>
    <w:rsid w:val="00643F44"/>
    <w:rsid w:val="00643F6E"/>
    <w:rsid w:val="0064405F"/>
    <w:rsid w:val="00644866"/>
    <w:rsid w:val="00644C4B"/>
    <w:rsid w:val="00644FD0"/>
    <w:rsid w:val="0064524A"/>
    <w:rsid w:val="006455C8"/>
    <w:rsid w:val="006457A8"/>
    <w:rsid w:val="006467CB"/>
    <w:rsid w:val="00646CC2"/>
    <w:rsid w:val="00646CCF"/>
    <w:rsid w:val="00646D3E"/>
    <w:rsid w:val="00647134"/>
    <w:rsid w:val="00647368"/>
    <w:rsid w:val="006476DB"/>
    <w:rsid w:val="00647E67"/>
    <w:rsid w:val="00647E6F"/>
    <w:rsid w:val="00650169"/>
    <w:rsid w:val="00650465"/>
    <w:rsid w:val="006506C1"/>
    <w:rsid w:val="00650799"/>
    <w:rsid w:val="00650850"/>
    <w:rsid w:val="006509F1"/>
    <w:rsid w:val="00650ABB"/>
    <w:rsid w:val="00650B07"/>
    <w:rsid w:val="00650BA4"/>
    <w:rsid w:val="00650DE0"/>
    <w:rsid w:val="00651192"/>
    <w:rsid w:val="006513BF"/>
    <w:rsid w:val="00651688"/>
    <w:rsid w:val="00651C41"/>
    <w:rsid w:val="00651E0A"/>
    <w:rsid w:val="00652134"/>
    <w:rsid w:val="006522D4"/>
    <w:rsid w:val="00652672"/>
    <w:rsid w:val="0065267F"/>
    <w:rsid w:val="006526E3"/>
    <w:rsid w:val="00652895"/>
    <w:rsid w:val="00652A33"/>
    <w:rsid w:val="0065323C"/>
    <w:rsid w:val="006532D0"/>
    <w:rsid w:val="00653407"/>
    <w:rsid w:val="00653A5D"/>
    <w:rsid w:val="00653E00"/>
    <w:rsid w:val="0065422A"/>
    <w:rsid w:val="006546AA"/>
    <w:rsid w:val="00654827"/>
    <w:rsid w:val="006548FE"/>
    <w:rsid w:val="00654964"/>
    <w:rsid w:val="00654EB5"/>
    <w:rsid w:val="006553A2"/>
    <w:rsid w:val="00655501"/>
    <w:rsid w:val="00655990"/>
    <w:rsid w:val="00655A34"/>
    <w:rsid w:val="00655F77"/>
    <w:rsid w:val="00655FF9"/>
    <w:rsid w:val="00656789"/>
    <w:rsid w:val="00656836"/>
    <w:rsid w:val="0065685D"/>
    <w:rsid w:val="006568C0"/>
    <w:rsid w:val="00656934"/>
    <w:rsid w:val="006569E9"/>
    <w:rsid w:val="00656C71"/>
    <w:rsid w:val="00656ECB"/>
    <w:rsid w:val="00657008"/>
    <w:rsid w:val="0065718C"/>
    <w:rsid w:val="0065760A"/>
    <w:rsid w:val="0065769F"/>
    <w:rsid w:val="006576F4"/>
    <w:rsid w:val="006579A2"/>
    <w:rsid w:val="00657A00"/>
    <w:rsid w:val="00657AE4"/>
    <w:rsid w:val="006604DC"/>
    <w:rsid w:val="0066079B"/>
    <w:rsid w:val="00660A29"/>
    <w:rsid w:val="00660D34"/>
    <w:rsid w:val="00660E88"/>
    <w:rsid w:val="00660EA1"/>
    <w:rsid w:val="00661475"/>
    <w:rsid w:val="00661929"/>
    <w:rsid w:val="00661BCB"/>
    <w:rsid w:val="00662402"/>
    <w:rsid w:val="00662593"/>
    <w:rsid w:val="0066262D"/>
    <w:rsid w:val="00662752"/>
    <w:rsid w:val="00662D09"/>
    <w:rsid w:val="00662E5C"/>
    <w:rsid w:val="00663061"/>
    <w:rsid w:val="0066312A"/>
    <w:rsid w:val="0066315A"/>
    <w:rsid w:val="0066317D"/>
    <w:rsid w:val="00663579"/>
    <w:rsid w:val="006637CA"/>
    <w:rsid w:val="0066380B"/>
    <w:rsid w:val="00663B74"/>
    <w:rsid w:val="00663CF5"/>
    <w:rsid w:val="006644C9"/>
    <w:rsid w:val="00664C46"/>
    <w:rsid w:val="00664CEB"/>
    <w:rsid w:val="00664D38"/>
    <w:rsid w:val="00665BDE"/>
    <w:rsid w:val="006661E5"/>
    <w:rsid w:val="0066653B"/>
    <w:rsid w:val="00666790"/>
    <w:rsid w:val="00666F71"/>
    <w:rsid w:val="00667431"/>
    <w:rsid w:val="00667A54"/>
    <w:rsid w:val="00667D40"/>
    <w:rsid w:val="00667ED3"/>
    <w:rsid w:val="006702D8"/>
    <w:rsid w:val="006702E6"/>
    <w:rsid w:val="006704FB"/>
    <w:rsid w:val="0067093C"/>
    <w:rsid w:val="006709A9"/>
    <w:rsid w:val="00670DE0"/>
    <w:rsid w:val="00670F36"/>
    <w:rsid w:val="006712CF"/>
    <w:rsid w:val="00671646"/>
    <w:rsid w:val="00671683"/>
    <w:rsid w:val="006717E8"/>
    <w:rsid w:val="00671F8E"/>
    <w:rsid w:val="00672025"/>
    <w:rsid w:val="0067239F"/>
    <w:rsid w:val="006725D1"/>
    <w:rsid w:val="00672603"/>
    <w:rsid w:val="00672C40"/>
    <w:rsid w:val="00672CA8"/>
    <w:rsid w:val="00672E36"/>
    <w:rsid w:val="0067305D"/>
    <w:rsid w:val="006731B4"/>
    <w:rsid w:val="00673495"/>
    <w:rsid w:val="0067361F"/>
    <w:rsid w:val="00674157"/>
    <w:rsid w:val="00674363"/>
    <w:rsid w:val="00674567"/>
    <w:rsid w:val="006746BE"/>
    <w:rsid w:val="00674731"/>
    <w:rsid w:val="00674922"/>
    <w:rsid w:val="00674BDD"/>
    <w:rsid w:val="00674C0D"/>
    <w:rsid w:val="0067505F"/>
    <w:rsid w:val="00675096"/>
    <w:rsid w:val="00675BDA"/>
    <w:rsid w:val="00675E3F"/>
    <w:rsid w:val="006762D7"/>
    <w:rsid w:val="00676836"/>
    <w:rsid w:val="0067686A"/>
    <w:rsid w:val="00676C5E"/>
    <w:rsid w:val="00676EAB"/>
    <w:rsid w:val="0067706F"/>
    <w:rsid w:val="0067722F"/>
    <w:rsid w:val="00677268"/>
    <w:rsid w:val="006777AA"/>
    <w:rsid w:val="00677ABE"/>
    <w:rsid w:val="006800CF"/>
    <w:rsid w:val="006801C3"/>
    <w:rsid w:val="00680B43"/>
    <w:rsid w:val="00680C0D"/>
    <w:rsid w:val="00681094"/>
    <w:rsid w:val="006811F1"/>
    <w:rsid w:val="006812BF"/>
    <w:rsid w:val="0068196E"/>
    <w:rsid w:val="00681C17"/>
    <w:rsid w:val="00681C2E"/>
    <w:rsid w:val="00681CC7"/>
    <w:rsid w:val="0068212A"/>
    <w:rsid w:val="00682411"/>
    <w:rsid w:val="006825D9"/>
    <w:rsid w:val="00682835"/>
    <w:rsid w:val="00682DD5"/>
    <w:rsid w:val="006838B3"/>
    <w:rsid w:val="0068394B"/>
    <w:rsid w:val="00683DA6"/>
    <w:rsid w:val="006846DE"/>
    <w:rsid w:val="00684B48"/>
    <w:rsid w:val="00684FA7"/>
    <w:rsid w:val="006850CD"/>
    <w:rsid w:val="006853A7"/>
    <w:rsid w:val="0068564B"/>
    <w:rsid w:val="0068573D"/>
    <w:rsid w:val="00685DB1"/>
    <w:rsid w:val="0068691F"/>
    <w:rsid w:val="0068697E"/>
    <w:rsid w:val="00687348"/>
    <w:rsid w:val="00687CE5"/>
    <w:rsid w:val="00687D32"/>
    <w:rsid w:val="00687D95"/>
    <w:rsid w:val="00687FB3"/>
    <w:rsid w:val="00690282"/>
    <w:rsid w:val="00690653"/>
    <w:rsid w:val="0069075D"/>
    <w:rsid w:val="00690898"/>
    <w:rsid w:val="00690B18"/>
    <w:rsid w:val="00690BCE"/>
    <w:rsid w:val="00690C88"/>
    <w:rsid w:val="00690DFD"/>
    <w:rsid w:val="00691496"/>
    <w:rsid w:val="00691D08"/>
    <w:rsid w:val="00691DDD"/>
    <w:rsid w:val="00691F12"/>
    <w:rsid w:val="00692031"/>
    <w:rsid w:val="00692B2E"/>
    <w:rsid w:val="00692C11"/>
    <w:rsid w:val="00692DA7"/>
    <w:rsid w:val="00693289"/>
    <w:rsid w:val="006933C6"/>
    <w:rsid w:val="00694246"/>
    <w:rsid w:val="006942DC"/>
    <w:rsid w:val="0069452C"/>
    <w:rsid w:val="0069465E"/>
    <w:rsid w:val="0069490F"/>
    <w:rsid w:val="00694DD6"/>
    <w:rsid w:val="0069524B"/>
    <w:rsid w:val="00695A2D"/>
    <w:rsid w:val="00695FC7"/>
    <w:rsid w:val="0069646A"/>
    <w:rsid w:val="00696475"/>
    <w:rsid w:val="0069651E"/>
    <w:rsid w:val="00696685"/>
    <w:rsid w:val="00696709"/>
    <w:rsid w:val="00696CCC"/>
    <w:rsid w:val="00696D14"/>
    <w:rsid w:val="00696F21"/>
    <w:rsid w:val="00696FCB"/>
    <w:rsid w:val="00697675"/>
    <w:rsid w:val="006977BE"/>
    <w:rsid w:val="006979C0"/>
    <w:rsid w:val="00697BF0"/>
    <w:rsid w:val="00697DEB"/>
    <w:rsid w:val="006A00EC"/>
    <w:rsid w:val="006A08E2"/>
    <w:rsid w:val="006A09D5"/>
    <w:rsid w:val="006A0C58"/>
    <w:rsid w:val="006A0C78"/>
    <w:rsid w:val="006A0DD9"/>
    <w:rsid w:val="006A13F5"/>
    <w:rsid w:val="006A169D"/>
    <w:rsid w:val="006A17ED"/>
    <w:rsid w:val="006A1CF2"/>
    <w:rsid w:val="006A1FA5"/>
    <w:rsid w:val="006A1FE0"/>
    <w:rsid w:val="006A2258"/>
    <w:rsid w:val="006A2A2C"/>
    <w:rsid w:val="006A2D55"/>
    <w:rsid w:val="006A2D65"/>
    <w:rsid w:val="006A3373"/>
    <w:rsid w:val="006A33B5"/>
    <w:rsid w:val="006A39E3"/>
    <w:rsid w:val="006A42BF"/>
    <w:rsid w:val="006A4467"/>
    <w:rsid w:val="006A48B6"/>
    <w:rsid w:val="006A5792"/>
    <w:rsid w:val="006A59F8"/>
    <w:rsid w:val="006A5A2F"/>
    <w:rsid w:val="006A68B3"/>
    <w:rsid w:val="006A6AFC"/>
    <w:rsid w:val="006A6D7D"/>
    <w:rsid w:val="006A702F"/>
    <w:rsid w:val="006A758B"/>
    <w:rsid w:val="006A7829"/>
    <w:rsid w:val="006A7A6B"/>
    <w:rsid w:val="006B0155"/>
    <w:rsid w:val="006B03E1"/>
    <w:rsid w:val="006B04BA"/>
    <w:rsid w:val="006B0544"/>
    <w:rsid w:val="006B0782"/>
    <w:rsid w:val="006B09A3"/>
    <w:rsid w:val="006B0B5F"/>
    <w:rsid w:val="006B0C9B"/>
    <w:rsid w:val="006B0CD1"/>
    <w:rsid w:val="006B11B1"/>
    <w:rsid w:val="006B1277"/>
    <w:rsid w:val="006B1330"/>
    <w:rsid w:val="006B17BA"/>
    <w:rsid w:val="006B2305"/>
    <w:rsid w:val="006B2697"/>
    <w:rsid w:val="006B27F1"/>
    <w:rsid w:val="006B2857"/>
    <w:rsid w:val="006B36D5"/>
    <w:rsid w:val="006B3A4C"/>
    <w:rsid w:val="006B410B"/>
    <w:rsid w:val="006B4254"/>
    <w:rsid w:val="006B4CCD"/>
    <w:rsid w:val="006B54FB"/>
    <w:rsid w:val="006B5644"/>
    <w:rsid w:val="006B5919"/>
    <w:rsid w:val="006B592E"/>
    <w:rsid w:val="006B59FA"/>
    <w:rsid w:val="006B5BE5"/>
    <w:rsid w:val="006B6049"/>
    <w:rsid w:val="006B61F6"/>
    <w:rsid w:val="006B63D8"/>
    <w:rsid w:val="006B64B9"/>
    <w:rsid w:val="006B6F6A"/>
    <w:rsid w:val="006B6FD4"/>
    <w:rsid w:val="006B7391"/>
    <w:rsid w:val="006B74CC"/>
    <w:rsid w:val="006B74FE"/>
    <w:rsid w:val="006B7656"/>
    <w:rsid w:val="006B76E0"/>
    <w:rsid w:val="006B7FCA"/>
    <w:rsid w:val="006C015E"/>
    <w:rsid w:val="006C042E"/>
    <w:rsid w:val="006C06B8"/>
    <w:rsid w:val="006C0E4D"/>
    <w:rsid w:val="006C1431"/>
    <w:rsid w:val="006C1A4B"/>
    <w:rsid w:val="006C1D9C"/>
    <w:rsid w:val="006C20FE"/>
    <w:rsid w:val="006C21E2"/>
    <w:rsid w:val="006C27BA"/>
    <w:rsid w:val="006C2A0E"/>
    <w:rsid w:val="006C3130"/>
    <w:rsid w:val="006C35E4"/>
    <w:rsid w:val="006C36FB"/>
    <w:rsid w:val="006C3E2A"/>
    <w:rsid w:val="006C4855"/>
    <w:rsid w:val="006C4B16"/>
    <w:rsid w:val="006C4DC0"/>
    <w:rsid w:val="006C506C"/>
    <w:rsid w:val="006C5C72"/>
    <w:rsid w:val="006C5E01"/>
    <w:rsid w:val="006C61BA"/>
    <w:rsid w:val="006C6518"/>
    <w:rsid w:val="006C663C"/>
    <w:rsid w:val="006C6693"/>
    <w:rsid w:val="006C676D"/>
    <w:rsid w:val="006C6797"/>
    <w:rsid w:val="006C67C5"/>
    <w:rsid w:val="006C697B"/>
    <w:rsid w:val="006C7327"/>
    <w:rsid w:val="006C773D"/>
    <w:rsid w:val="006C7C40"/>
    <w:rsid w:val="006C7D75"/>
    <w:rsid w:val="006C7E5B"/>
    <w:rsid w:val="006D0945"/>
    <w:rsid w:val="006D0AF3"/>
    <w:rsid w:val="006D0FAF"/>
    <w:rsid w:val="006D17F9"/>
    <w:rsid w:val="006D1854"/>
    <w:rsid w:val="006D1B11"/>
    <w:rsid w:val="006D1C1F"/>
    <w:rsid w:val="006D1CF4"/>
    <w:rsid w:val="006D21FC"/>
    <w:rsid w:val="006D2220"/>
    <w:rsid w:val="006D23A6"/>
    <w:rsid w:val="006D29A2"/>
    <w:rsid w:val="006D2F29"/>
    <w:rsid w:val="006D3727"/>
    <w:rsid w:val="006D377B"/>
    <w:rsid w:val="006D3990"/>
    <w:rsid w:val="006D3CED"/>
    <w:rsid w:val="006D3FD8"/>
    <w:rsid w:val="006D4274"/>
    <w:rsid w:val="006D4927"/>
    <w:rsid w:val="006D4AF6"/>
    <w:rsid w:val="006D4B6C"/>
    <w:rsid w:val="006D4B8E"/>
    <w:rsid w:val="006D4E60"/>
    <w:rsid w:val="006D509C"/>
    <w:rsid w:val="006D59DB"/>
    <w:rsid w:val="006D5D15"/>
    <w:rsid w:val="006D659D"/>
    <w:rsid w:val="006D6730"/>
    <w:rsid w:val="006D6867"/>
    <w:rsid w:val="006D700B"/>
    <w:rsid w:val="006D7053"/>
    <w:rsid w:val="006D76AF"/>
    <w:rsid w:val="006D7955"/>
    <w:rsid w:val="006D7CE2"/>
    <w:rsid w:val="006E0122"/>
    <w:rsid w:val="006E0C95"/>
    <w:rsid w:val="006E1114"/>
    <w:rsid w:val="006E1DD2"/>
    <w:rsid w:val="006E2390"/>
    <w:rsid w:val="006E2D84"/>
    <w:rsid w:val="006E31E7"/>
    <w:rsid w:val="006E3668"/>
    <w:rsid w:val="006E42F1"/>
    <w:rsid w:val="006E46AF"/>
    <w:rsid w:val="006E4864"/>
    <w:rsid w:val="006E4AE0"/>
    <w:rsid w:val="006E4B48"/>
    <w:rsid w:val="006E4B6A"/>
    <w:rsid w:val="006E4DCB"/>
    <w:rsid w:val="006E51AB"/>
    <w:rsid w:val="006E589F"/>
    <w:rsid w:val="006E5A6A"/>
    <w:rsid w:val="006E5E3B"/>
    <w:rsid w:val="006E63D9"/>
    <w:rsid w:val="006E6CF3"/>
    <w:rsid w:val="006E7E21"/>
    <w:rsid w:val="006F0240"/>
    <w:rsid w:val="006F081B"/>
    <w:rsid w:val="006F0854"/>
    <w:rsid w:val="006F0987"/>
    <w:rsid w:val="006F0BAC"/>
    <w:rsid w:val="006F0D13"/>
    <w:rsid w:val="006F0E78"/>
    <w:rsid w:val="006F0EA1"/>
    <w:rsid w:val="006F0EEB"/>
    <w:rsid w:val="006F121F"/>
    <w:rsid w:val="006F1862"/>
    <w:rsid w:val="006F1F9C"/>
    <w:rsid w:val="006F2018"/>
    <w:rsid w:val="006F21DA"/>
    <w:rsid w:val="006F295F"/>
    <w:rsid w:val="006F2EE9"/>
    <w:rsid w:val="006F3353"/>
    <w:rsid w:val="006F3893"/>
    <w:rsid w:val="006F3B0D"/>
    <w:rsid w:val="006F3D8D"/>
    <w:rsid w:val="006F42AF"/>
    <w:rsid w:val="006F4579"/>
    <w:rsid w:val="006F4D15"/>
    <w:rsid w:val="006F51B9"/>
    <w:rsid w:val="006F5326"/>
    <w:rsid w:val="006F5675"/>
    <w:rsid w:val="006F58A9"/>
    <w:rsid w:val="006F58C8"/>
    <w:rsid w:val="006F592D"/>
    <w:rsid w:val="006F5C0B"/>
    <w:rsid w:val="006F5CD9"/>
    <w:rsid w:val="006F5E32"/>
    <w:rsid w:val="006F6372"/>
    <w:rsid w:val="006F6AD0"/>
    <w:rsid w:val="006F6BB8"/>
    <w:rsid w:val="006F6E93"/>
    <w:rsid w:val="006F728F"/>
    <w:rsid w:val="006F78BB"/>
    <w:rsid w:val="006F7B0A"/>
    <w:rsid w:val="00700596"/>
    <w:rsid w:val="00701125"/>
    <w:rsid w:val="007011A4"/>
    <w:rsid w:val="0070120A"/>
    <w:rsid w:val="007016B4"/>
    <w:rsid w:val="00701AF8"/>
    <w:rsid w:val="00701B21"/>
    <w:rsid w:val="0070210E"/>
    <w:rsid w:val="007025EB"/>
    <w:rsid w:val="00702857"/>
    <w:rsid w:val="00702B97"/>
    <w:rsid w:val="007030D0"/>
    <w:rsid w:val="0070335B"/>
    <w:rsid w:val="00703EC6"/>
    <w:rsid w:val="00703F82"/>
    <w:rsid w:val="0070414C"/>
    <w:rsid w:val="0070485D"/>
    <w:rsid w:val="00704E26"/>
    <w:rsid w:val="00705212"/>
    <w:rsid w:val="007054B4"/>
    <w:rsid w:val="00706C0B"/>
    <w:rsid w:val="0070706D"/>
    <w:rsid w:val="007070CE"/>
    <w:rsid w:val="007071AC"/>
    <w:rsid w:val="007078A7"/>
    <w:rsid w:val="00707D79"/>
    <w:rsid w:val="007100C6"/>
    <w:rsid w:val="00710157"/>
    <w:rsid w:val="007109C7"/>
    <w:rsid w:val="00710BFA"/>
    <w:rsid w:val="00710CE1"/>
    <w:rsid w:val="00710E38"/>
    <w:rsid w:val="0071108C"/>
    <w:rsid w:val="00711652"/>
    <w:rsid w:val="007116A1"/>
    <w:rsid w:val="00711A44"/>
    <w:rsid w:val="00711F5C"/>
    <w:rsid w:val="007129C2"/>
    <w:rsid w:val="00712C17"/>
    <w:rsid w:val="00712D45"/>
    <w:rsid w:val="007131AE"/>
    <w:rsid w:val="007138A7"/>
    <w:rsid w:val="00714114"/>
    <w:rsid w:val="007149E7"/>
    <w:rsid w:val="00714FBD"/>
    <w:rsid w:val="007150DB"/>
    <w:rsid w:val="007150F8"/>
    <w:rsid w:val="00715361"/>
    <w:rsid w:val="00715680"/>
    <w:rsid w:val="00716067"/>
    <w:rsid w:val="00716390"/>
    <w:rsid w:val="007165FF"/>
    <w:rsid w:val="00716697"/>
    <w:rsid w:val="007166C1"/>
    <w:rsid w:val="00716AC3"/>
    <w:rsid w:val="00716AF0"/>
    <w:rsid w:val="00716BA7"/>
    <w:rsid w:val="00716BD7"/>
    <w:rsid w:val="00716CC3"/>
    <w:rsid w:val="0071764B"/>
    <w:rsid w:val="00717F76"/>
    <w:rsid w:val="00717FE6"/>
    <w:rsid w:val="007201E3"/>
    <w:rsid w:val="00720282"/>
    <w:rsid w:val="00720556"/>
    <w:rsid w:val="00720A28"/>
    <w:rsid w:val="00720C75"/>
    <w:rsid w:val="007214D6"/>
    <w:rsid w:val="0072160F"/>
    <w:rsid w:val="0072182B"/>
    <w:rsid w:val="00721AD2"/>
    <w:rsid w:val="00721D74"/>
    <w:rsid w:val="00721E87"/>
    <w:rsid w:val="00721F7E"/>
    <w:rsid w:val="00722768"/>
    <w:rsid w:val="00722A27"/>
    <w:rsid w:val="00722C25"/>
    <w:rsid w:val="00722E35"/>
    <w:rsid w:val="00722E66"/>
    <w:rsid w:val="00723191"/>
    <w:rsid w:val="00723355"/>
    <w:rsid w:val="00723BF6"/>
    <w:rsid w:val="00723DD9"/>
    <w:rsid w:val="00723E19"/>
    <w:rsid w:val="0072456C"/>
    <w:rsid w:val="007247D3"/>
    <w:rsid w:val="00724935"/>
    <w:rsid w:val="00724B2D"/>
    <w:rsid w:val="00724D5C"/>
    <w:rsid w:val="007250CB"/>
    <w:rsid w:val="0072519F"/>
    <w:rsid w:val="0072567C"/>
    <w:rsid w:val="00726583"/>
    <w:rsid w:val="00726626"/>
    <w:rsid w:val="007269B7"/>
    <w:rsid w:val="00726CA3"/>
    <w:rsid w:val="00726DF7"/>
    <w:rsid w:val="00727049"/>
    <w:rsid w:val="00727221"/>
    <w:rsid w:val="0072732F"/>
    <w:rsid w:val="0072733E"/>
    <w:rsid w:val="007275BD"/>
    <w:rsid w:val="007275E4"/>
    <w:rsid w:val="00727613"/>
    <w:rsid w:val="00727A24"/>
    <w:rsid w:val="00727D75"/>
    <w:rsid w:val="007300EE"/>
    <w:rsid w:val="00730121"/>
    <w:rsid w:val="007302F8"/>
    <w:rsid w:val="007304FC"/>
    <w:rsid w:val="00730544"/>
    <w:rsid w:val="007307C9"/>
    <w:rsid w:val="00730DEB"/>
    <w:rsid w:val="00730EAD"/>
    <w:rsid w:val="00730FB6"/>
    <w:rsid w:val="00731076"/>
    <w:rsid w:val="00731709"/>
    <w:rsid w:val="00731D8D"/>
    <w:rsid w:val="007320A8"/>
    <w:rsid w:val="007327A2"/>
    <w:rsid w:val="007330BB"/>
    <w:rsid w:val="0073330B"/>
    <w:rsid w:val="007333EA"/>
    <w:rsid w:val="007335C2"/>
    <w:rsid w:val="007337D9"/>
    <w:rsid w:val="00733971"/>
    <w:rsid w:val="00733999"/>
    <w:rsid w:val="00734028"/>
    <w:rsid w:val="00734364"/>
    <w:rsid w:val="007347F2"/>
    <w:rsid w:val="00734855"/>
    <w:rsid w:val="00734989"/>
    <w:rsid w:val="00734D13"/>
    <w:rsid w:val="0073612D"/>
    <w:rsid w:val="007362DA"/>
    <w:rsid w:val="007363E8"/>
    <w:rsid w:val="00736DF0"/>
    <w:rsid w:val="00736FA3"/>
    <w:rsid w:val="0073708A"/>
    <w:rsid w:val="00737339"/>
    <w:rsid w:val="007376C1"/>
    <w:rsid w:val="00737BED"/>
    <w:rsid w:val="00737DC3"/>
    <w:rsid w:val="0074056F"/>
    <w:rsid w:val="007406D4"/>
    <w:rsid w:val="0074072C"/>
    <w:rsid w:val="007409CD"/>
    <w:rsid w:val="00740A29"/>
    <w:rsid w:val="007410E9"/>
    <w:rsid w:val="007419AC"/>
    <w:rsid w:val="00741A97"/>
    <w:rsid w:val="00741AF4"/>
    <w:rsid w:val="00741E14"/>
    <w:rsid w:val="00742622"/>
    <w:rsid w:val="00742684"/>
    <w:rsid w:val="007426DA"/>
    <w:rsid w:val="00742BA1"/>
    <w:rsid w:val="00742C53"/>
    <w:rsid w:val="00742CAD"/>
    <w:rsid w:val="00743449"/>
    <w:rsid w:val="00743C61"/>
    <w:rsid w:val="00743CB9"/>
    <w:rsid w:val="007443AF"/>
    <w:rsid w:val="007444A1"/>
    <w:rsid w:val="007444A8"/>
    <w:rsid w:val="00744656"/>
    <w:rsid w:val="00744C77"/>
    <w:rsid w:val="0074517F"/>
    <w:rsid w:val="00745201"/>
    <w:rsid w:val="00745422"/>
    <w:rsid w:val="0074549E"/>
    <w:rsid w:val="007454FE"/>
    <w:rsid w:val="00745AE9"/>
    <w:rsid w:val="007461FB"/>
    <w:rsid w:val="007462FA"/>
    <w:rsid w:val="00746316"/>
    <w:rsid w:val="00746DFE"/>
    <w:rsid w:val="00746EA1"/>
    <w:rsid w:val="007470B5"/>
    <w:rsid w:val="007474CB"/>
    <w:rsid w:val="0074778D"/>
    <w:rsid w:val="00747852"/>
    <w:rsid w:val="00747B9B"/>
    <w:rsid w:val="00747F95"/>
    <w:rsid w:val="0075029F"/>
    <w:rsid w:val="00750337"/>
    <w:rsid w:val="00750B3E"/>
    <w:rsid w:val="00750FCC"/>
    <w:rsid w:val="007517B9"/>
    <w:rsid w:val="007519CB"/>
    <w:rsid w:val="00751AB9"/>
    <w:rsid w:val="00751CFA"/>
    <w:rsid w:val="00751ED7"/>
    <w:rsid w:val="00752097"/>
    <w:rsid w:val="007520C5"/>
    <w:rsid w:val="0075288F"/>
    <w:rsid w:val="00752A4D"/>
    <w:rsid w:val="00752F25"/>
    <w:rsid w:val="00753771"/>
    <w:rsid w:val="0075392E"/>
    <w:rsid w:val="00754597"/>
    <w:rsid w:val="0075483A"/>
    <w:rsid w:val="00754905"/>
    <w:rsid w:val="00755029"/>
    <w:rsid w:val="00755059"/>
    <w:rsid w:val="00755729"/>
    <w:rsid w:val="0075592B"/>
    <w:rsid w:val="00755A80"/>
    <w:rsid w:val="00755ABF"/>
    <w:rsid w:val="00755D9A"/>
    <w:rsid w:val="00756078"/>
    <w:rsid w:val="00756554"/>
    <w:rsid w:val="00756A1D"/>
    <w:rsid w:val="00756DC7"/>
    <w:rsid w:val="00756EAF"/>
    <w:rsid w:val="007570B7"/>
    <w:rsid w:val="0075734A"/>
    <w:rsid w:val="00757391"/>
    <w:rsid w:val="00757399"/>
    <w:rsid w:val="00757D2D"/>
    <w:rsid w:val="0076003E"/>
    <w:rsid w:val="00760F73"/>
    <w:rsid w:val="00760FA0"/>
    <w:rsid w:val="0076151F"/>
    <w:rsid w:val="0076152D"/>
    <w:rsid w:val="00761664"/>
    <w:rsid w:val="00761A00"/>
    <w:rsid w:val="00761D41"/>
    <w:rsid w:val="007621D4"/>
    <w:rsid w:val="007628C2"/>
    <w:rsid w:val="00762ABB"/>
    <w:rsid w:val="00762C11"/>
    <w:rsid w:val="00762F68"/>
    <w:rsid w:val="00763213"/>
    <w:rsid w:val="00763299"/>
    <w:rsid w:val="00763308"/>
    <w:rsid w:val="007633C5"/>
    <w:rsid w:val="007638BC"/>
    <w:rsid w:val="0076423D"/>
    <w:rsid w:val="007646EC"/>
    <w:rsid w:val="00764796"/>
    <w:rsid w:val="00764B8E"/>
    <w:rsid w:val="00765156"/>
    <w:rsid w:val="007657EA"/>
    <w:rsid w:val="00765835"/>
    <w:rsid w:val="00765BD0"/>
    <w:rsid w:val="00765EBF"/>
    <w:rsid w:val="00766708"/>
    <w:rsid w:val="0076674A"/>
    <w:rsid w:val="00766953"/>
    <w:rsid w:val="00766A99"/>
    <w:rsid w:val="00766A9B"/>
    <w:rsid w:val="0076711C"/>
    <w:rsid w:val="00770060"/>
    <w:rsid w:val="00770169"/>
    <w:rsid w:val="00770622"/>
    <w:rsid w:val="00770971"/>
    <w:rsid w:val="00770AB8"/>
    <w:rsid w:val="00770F6B"/>
    <w:rsid w:val="00771022"/>
    <w:rsid w:val="007711BA"/>
    <w:rsid w:val="0077120C"/>
    <w:rsid w:val="0077125B"/>
    <w:rsid w:val="00771FB7"/>
    <w:rsid w:val="007726A5"/>
    <w:rsid w:val="007726D8"/>
    <w:rsid w:val="00772805"/>
    <w:rsid w:val="007729D7"/>
    <w:rsid w:val="00772F41"/>
    <w:rsid w:val="0077312A"/>
    <w:rsid w:val="007731CF"/>
    <w:rsid w:val="00773B29"/>
    <w:rsid w:val="00773F23"/>
    <w:rsid w:val="007742BC"/>
    <w:rsid w:val="00774418"/>
    <w:rsid w:val="007744EB"/>
    <w:rsid w:val="00774AD4"/>
    <w:rsid w:val="00774C43"/>
    <w:rsid w:val="007751DE"/>
    <w:rsid w:val="007751FF"/>
    <w:rsid w:val="00775230"/>
    <w:rsid w:val="00775365"/>
    <w:rsid w:val="00775F9D"/>
    <w:rsid w:val="0077648E"/>
    <w:rsid w:val="00776C5A"/>
    <w:rsid w:val="00776FE0"/>
    <w:rsid w:val="00777740"/>
    <w:rsid w:val="00780ED9"/>
    <w:rsid w:val="00780F69"/>
    <w:rsid w:val="0078103D"/>
    <w:rsid w:val="007811CC"/>
    <w:rsid w:val="007811D0"/>
    <w:rsid w:val="007820EE"/>
    <w:rsid w:val="00782133"/>
    <w:rsid w:val="00782CD4"/>
    <w:rsid w:val="0078309B"/>
    <w:rsid w:val="00783811"/>
    <w:rsid w:val="00783B4F"/>
    <w:rsid w:val="00784B80"/>
    <w:rsid w:val="00784C7A"/>
    <w:rsid w:val="00784F85"/>
    <w:rsid w:val="00785707"/>
    <w:rsid w:val="00785CFB"/>
    <w:rsid w:val="00786132"/>
    <w:rsid w:val="0078614D"/>
    <w:rsid w:val="00786772"/>
    <w:rsid w:val="00786801"/>
    <w:rsid w:val="00786D7D"/>
    <w:rsid w:val="00787049"/>
    <w:rsid w:val="007875CC"/>
    <w:rsid w:val="007879E3"/>
    <w:rsid w:val="00787A64"/>
    <w:rsid w:val="00787BE5"/>
    <w:rsid w:val="00787FB1"/>
    <w:rsid w:val="007900AE"/>
    <w:rsid w:val="00790115"/>
    <w:rsid w:val="00790141"/>
    <w:rsid w:val="00790481"/>
    <w:rsid w:val="00790B62"/>
    <w:rsid w:val="00790B71"/>
    <w:rsid w:val="00791116"/>
    <w:rsid w:val="00791133"/>
    <w:rsid w:val="00791276"/>
    <w:rsid w:val="0079190E"/>
    <w:rsid w:val="00791A6D"/>
    <w:rsid w:val="00791C8C"/>
    <w:rsid w:val="00791D75"/>
    <w:rsid w:val="00791EDC"/>
    <w:rsid w:val="00792063"/>
    <w:rsid w:val="0079254C"/>
    <w:rsid w:val="00792C95"/>
    <w:rsid w:val="00792CBD"/>
    <w:rsid w:val="007931A5"/>
    <w:rsid w:val="00793534"/>
    <w:rsid w:val="00793E14"/>
    <w:rsid w:val="00793EA6"/>
    <w:rsid w:val="00793FF9"/>
    <w:rsid w:val="00794043"/>
    <w:rsid w:val="007944A7"/>
    <w:rsid w:val="00794815"/>
    <w:rsid w:val="00794BE7"/>
    <w:rsid w:val="00794BF4"/>
    <w:rsid w:val="00795360"/>
    <w:rsid w:val="00795899"/>
    <w:rsid w:val="00795A06"/>
    <w:rsid w:val="00795BB5"/>
    <w:rsid w:val="00795BF8"/>
    <w:rsid w:val="00795E53"/>
    <w:rsid w:val="007961D6"/>
    <w:rsid w:val="00796595"/>
    <w:rsid w:val="00796BBC"/>
    <w:rsid w:val="00796D03"/>
    <w:rsid w:val="00796E8C"/>
    <w:rsid w:val="007970D8"/>
    <w:rsid w:val="007971E3"/>
    <w:rsid w:val="00797CDA"/>
    <w:rsid w:val="007A0367"/>
    <w:rsid w:val="007A051B"/>
    <w:rsid w:val="007A0746"/>
    <w:rsid w:val="007A07AB"/>
    <w:rsid w:val="007A0957"/>
    <w:rsid w:val="007A0E65"/>
    <w:rsid w:val="007A1124"/>
    <w:rsid w:val="007A1578"/>
    <w:rsid w:val="007A196E"/>
    <w:rsid w:val="007A1ECE"/>
    <w:rsid w:val="007A1FAC"/>
    <w:rsid w:val="007A223F"/>
    <w:rsid w:val="007A22F3"/>
    <w:rsid w:val="007A2635"/>
    <w:rsid w:val="007A26EA"/>
    <w:rsid w:val="007A31FE"/>
    <w:rsid w:val="007A350A"/>
    <w:rsid w:val="007A3A61"/>
    <w:rsid w:val="007A3B7F"/>
    <w:rsid w:val="007A3D6C"/>
    <w:rsid w:val="007A430B"/>
    <w:rsid w:val="007A46D5"/>
    <w:rsid w:val="007A4C0F"/>
    <w:rsid w:val="007A4E01"/>
    <w:rsid w:val="007A5229"/>
    <w:rsid w:val="007A548F"/>
    <w:rsid w:val="007A5726"/>
    <w:rsid w:val="007A581B"/>
    <w:rsid w:val="007A5B59"/>
    <w:rsid w:val="007A5CA1"/>
    <w:rsid w:val="007A6337"/>
    <w:rsid w:val="007A6970"/>
    <w:rsid w:val="007A6C53"/>
    <w:rsid w:val="007A706F"/>
    <w:rsid w:val="007A7189"/>
    <w:rsid w:val="007A7510"/>
    <w:rsid w:val="007A7886"/>
    <w:rsid w:val="007A796D"/>
    <w:rsid w:val="007A79F4"/>
    <w:rsid w:val="007A7A85"/>
    <w:rsid w:val="007A7EEC"/>
    <w:rsid w:val="007B01E0"/>
    <w:rsid w:val="007B0B64"/>
    <w:rsid w:val="007B159E"/>
    <w:rsid w:val="007B15AC"/>
    <w:rsid w:val="007B1649"/>
    <w:rsid w:val="007B199D"/>
    <w:rsid w:val="007B1F4D"/>
    <w:rsid w:val="007B20DD"/>
    <w:rsid w:val="007B247C"/>
    <w:rsid w:val="007B2D4F"/>
    <w:rsid w:val="007B32AA"/>
    <w:rsid w:val="007B33E6"/>
    <w:rsid w:val="007B3512"/>
    <w:rsid w:val="007B380E"/>
    <w:rsid w:val="007B3A22"/>
    <w:rsid w:val="007B3BBB"/>
    <w:rsid w:val="007B3F68"/>
    <w:rsid w:val="007B409A"/>
    <w:rsid w:val="007B4658"/>
    <w:rsid w:val="007B49D3"/>
    <w:rsid w:val="007B5485"/>
    <w:rsid w:val="007B56AA"/>
    <w:rsid w:val="007B581C"/>
    <w:rsid w:val="007B5DA1"/>
    <w:rsid w:val="007B5EC9"/>
    <w:rsid w:val="007B5F47"/>
    <w:rsid w:val="007B63BD"/>
    <w:rsid w:val="007B6C7D"/>
    <w:rsid w:val="007B7CE8"/>
    <w:rsid w:val="007B7D24"/>
    <w:rsid w:val="007B7F36"/>
    <w:rsid w:val="007B7FF5"/>
    <w:rsid w:val="007C00DE"/>
    <w:rsid w:val="007C011A"/>
    <w:rsid w:val="007C0135"/>
    <w:rsid w:val="007C07D8"/>
    <w:rsid w:val="007C0828"/>
    <w:rsid w:val="007C09E1"/>
    <w:rsid w:val="007C0AE1"/>
    <w:rsid w:val="007C0E67"/>
    <w:rsid w:val="007C0FAD"/>
    <w:rsid w:val="007C0FBD"/>
    <w:rsid w:val="007C10F3"/>
    <w:rsid w:val="007C1B65"/>
    <w:rsid w:val="007C1D37"/>
    <w:rsid w:val="007C1E3E"/>
    <w:rsid w:val="007C2171"/>
    <w:rsid w:val="007C258D"/>
    <w:rsid w:val="007C289B"/>
    <w:rsid w:val="007C2918"/>
    <w:rsid w:val="007C350A"/>
    <w:rsid w:val="007C361E"/>
    <w:rsid w:val="007C36A4"/>
    <w:rsid w:val="007C379C"/>
    <w:rsid w:val="007C38AC"/>
    <w:rsid w:val="007C4959"/>
    <w:rsid w:val="007C4A86"/>
    <w:rsid w:val="007C540F"/>
    <w:rsid w:val="007C5A8A"/>
    <w:rsid w:val="007C5AD8"/>
    <w:rsid w:val="007C5BDC"/>
    <w:rsid w:val="007C5C83"/>
    <w:rsid w:val="007C68BB"/>
    <w:rsid w:val="007C68D6"/>
    <w:rsid w:val="007C6AD7"/>
    <w:rsid w:val="007C6C19"/>
    <w:rsid w:val="007C76CD"/>
    <w:rsid w:val="007C783C"/>
    <w:rsid w:val="007C7908"/>
    <w:rsid w:val="007C7A6E"/>
    <w:rsid w:val="007C7C1A"/>
    <w:rsid w:val="007C7DAB"/>
    <w:rsid w:val="007D026A"/>
    <w:rsid w:val="007D05E4"/>
    <w:rsid w:val="007D088F"/>
    <w:rsid w:val="007D0B11"/>
    <w:rsid w:val="007D0BFA"/>
    <w:rsid w:val="007D0EC0"/>
    <w:rsid w:val="007D13EE"/>
    <w:rsid w:val="007D14B6"/>
    <w:rsid w:val="007D1723"/>
    <w:rsid w:val="007D1D62"/>
    <w:rsid w:val="007D1D9A"/>
    <w:rsid w:val="007D1E0F"/>
    <w:rsid w:val="007D1FD6"/>
    <w:rsid w:val="007D20E0"/>
    <w:rsid w:val="007D2292"/>
    <w:rsid w:val="007D2530"/>
    <w:rsid w:val="007D2B2B"/>
    <w:rsid w:val="007D346B"/>
    <w:rsid w:val="007D3CBC"/>
    <w:rsid w:val="007D3E13"/>
    <w:rsid w:val="007D3FAA"/>
    <w:rsid w:val="007D4CF9"/>
    <w:rsid w:val="007D4FE0"/>
    <w:rsid w:val="007D55CD"/>
    <w:rsid w:val="007D58F8"/>
    <w:rsid w:val="007D5ABB"/>
    <w:rsid w:val="007D5E3B"/>
    <w:rsid w:val="007D6086"/>
    <w:rsid w:val="007D65BB"/>
    <w:rsid w:val="007D67BA"/>
    <w:rsid w:val="007D68F3"/>
    <w:rsid w:val="007D693F"/>
    <w:rsid w:val="007D74B9"/>
    <w:rsid w:val="007D7963"/>
    <w:rsid w:val="007E0711"/>
    <w:rsid w:val="007E0777"/>
    <w:rsid w:val="007E0952"/>
    <w:rsid w:val="007E0986"/>
    <w:rsid w:val="007E0A7B"/>
    <w:rsid w:val="007E0E76"/>
    <w:rsid w:val="007E1346"/>
    <w:rsid w:val="007E15DC"/>
    <w:rsid w:val="007E16B3"/>
    <w:rsid w:val="007E1B47"/>
    <w:rsid w:val="007E1B8A"/>
    <w:rsid w:val="007E1FF5"/>
    <w:rsid w:val="007E2117"/>
    <w:rsid w:val="007E2259"/>
    <w:rsid w:val="007E2602"/>
    <w:rsid w:val="007E2B54"/>
    <w:rsid w:val="007E2BBA"/>
    <w:rsid w:val="007E2CC1"/>
    <w:rsid w:val="007E2F17"/>
    <w:rsid w:val="007E2FB6"/>
    <w:rsid w:val="007E3217"/>
    <w:rsid w:val="007E32F5"/>
    <w:rsid w:val="007E344C"/>
    <w:rsid w:val="007E36E0"/>
    <w:rsid w:val="007E39E1"/>
    <w:rsid w:val="007E3C11"/>
    <w:rsid w:val="007E3D51"/>
    <w:rsid w:val="007E44DC"/>
    <w:rsid w:val="007E48AB"/>
    <w:rsid w:val="007E4979"/>
    <w:rsid w:val="007E4A37"/>
    <w:rsid w:val="007E53F7"/>
    <w:rsid w:val="007E5462"/>
    <w:rsid w:val="007E5786"/>
    <w:rsid w:val="007E58D1"/>
    <w:rsid w:val="007E5EC3"/>
    <w:rsid w:val="007E6207"/>
    <w:rsid w:val="007E6CFD"/>
    <w:rsid w:val="007E7724"/>
    <w:rsid w:val="007E7894"/>
    <w:rsid w:val="007E7B57"/>
    <w:rsid w:val="007F0462"/>
    <w:rsid w:val="007F0CDA"/>
    <w:rsid w:val="007F111D"/>
    <w:rsid w:val="007F12D0"/>
    <w:rsid w:val="007F1925"/>
    <w:rsid w:val="007F196C"/>
    <w:rsid w:val="007F1D31"/>
    <w:rsid w:val="007F229B"/>
    <w:rsid w:val="007F2375"/>
    <w:rsid w:val="007F2617"/>
    <w:rsid w:val="007F29D4"/>
    <w:rsid w:val="007F2F9B"/>
    <w:rsid w:val="007F3090"/>
    <w:rsid w:val="007F35AC"/>
    <w:rsid w:val="007F37E6"/>
    <w:rsid w:val="007F38B3"/>
    <w:rsid w:val="007F43C0"/>
    <w:rsid w:val="007F448A"/>
    <w:rsid w:val="007F47C2"/>
    <w:rsid w:val="007F4B09"/>
    <w:rsid w:val="007F4DC3"/>
    <w:rsid w:val="007F4E1D"/>
    <w:rsid w:val="007F4EAE"/>
    <w:rsid w:val="007F508E"/>
    <w:rsid w:val="007F520B"/>
    <w:rsid w:val="007F53AB"/>
    <w:rsid w:val="007F53B3"/>
    <w:rsid w:val="007F568D"/>
    <w:rsid w:val="007F57BF"/>
    <w:rsid w:val="007F583D"/>
    <w:rsid w:val="007F58F2"/>
    <w:rsid w:val="007F5ACB"/>
    <w:rsid w:val="007F5B2F"/>
    <w:rsid w:val="007F5BCC"/>
    <w:rsid w:val="007F6079"/>
    <w:rsid w:val="007F6121"/>
    <w:rsid w:val="007F614B"/>
    <w:rsid w:val="007F650E"/>
    <w:rsid w:val="007F69D1"/>
    <w:rsid w:val="007F6C6F"/>
    <w:rsid w:val="007F6E7B"/>
    <w:rsid w:val="007F6F73"/>
    <w:rsid w:val="007F754C"/>
    <w:rsid w:val="007F757B"/>
    <w:rsid w:val="007F7B14"/>
    <w:rsid w:val="00800159"/>
    <w:rsid w:val="00800383"/>
    <w:rsid w:val="00800423"/>
    <w:rsid w:val="00800686"/>
    <w:rsid w:val="00800956"/>
    <w:rsid w:val="00800A79"/>
    <w:rsid w:val="00800F17"/>
    <w:rsid w:val="008011CF"/>
    <w:rsid w:val="008018A0"/>
    <w:rsid w:val="00801A47"/>
    <w:rsid w:val="00801AA6"/>
    <w:rsid w:val="00801F23"/>
    <w:rsid w:val="008021CC"/>
    <w:rsid w:val="008021E9"/>
    <w:rsid w:val="00802399"/>
    <w:rsid w:val="008025F6"/>
    <w:rsid w:val="00802ADC"/>
    <w:rsid w:val="00803D48"/>
    <w:rsid w:val="00803DF2"/>
    <w:rsid w:val="0080418D"/>
    <w:rsid w:val="00804785"/>
    <w:rsid w:val="0080574A"/>
    <w:rsid w:val="00805978"/>
    <w:rsid w:val="00805BF2"/>
    <w:rsid w:val="00805E82"/>
    <w:rsid w:val="0080660C"/>
    <w:rsid w:val="008069D4"/>
    <w:rsid w:val="00806A8F"/>
    <w:rsid w:val="00806B0D"/>
    <w:rsid w:val="00806C9A"/>
    <w:rsid w:val="00806CD0"/>
    <w:rsid w:val="0080701F"/>
    <w:rsid w:val="008077EB"/>
    <w:rsid w:val="00807BB8"/>
    <w:rsid w:val="00807EE0"/>
    <w:rsid w:val="008101EA"/>
    <w:rsid w:val="00810588"/>
    <w:rsid w:val="008105B8"/>
    <w:rsid w:val="008107B3"/>
    <w:rsid w:val="00810BE1"/>
    <w:rsid w:val="00810DB2"/>
    <w:rsid w:val="00811209"/>
    <w:rsid w:val="00811724"/>
    <w:rsid w:val="0081185E"/>
    <w:rsid w:val="008119AE"/>
    <w:rsid w:val="00811AF0"/>
    <w:rsid w:val="00811B74"/>
    <w:rsid w:val="00811CF0"/>
    <w:rsid w:val="00811D9A"/>
    <w:rsid w:val="00811F3C"/>
    <w:rsid w:val="0081216B"/>
    <w:rsid w:val="00812528"/>
    <w:rsid w:val="00812C1C"/>
    <w:rsid w:val="00813DD9"/>
    <w:rsid w:val="00813DFE"/>
    <w:rsid w:val="00813E27"/>
    <w:rsid w:val="0081446D"/>
    <w:rsid w:val="0081457D"/>
    <w:rsid w:val="008147DE"/>
    <w:rsid w:val="00814EBD"/>
    <w:rsid w:val="008151A0"/>
    <w:rsid w:val="0081522F"/>
    <w:rsid w:val="008154CB"/>
    <w:rsid w:val="00815C27"/>
    <w:rsid w:val="008164D1"/>
    <w:rsid w:val="0081673C"/>
    <w:rsid w:val="008167B8"/>
    <w:rsid w:val="008167FA"/>
    <w:rsid w:val="00816BFE"/>
    <w:rsid w:val="00816C3C"/>
    <w:rsid w:val="00817D82"/>
    <w:rsid w:val="0082010F"/>
    <w:rsid w:val="0082034C"/>
    <w:rsid w:val="00820611"/>
    <w:rsid w:val="00820A28"/>
    <w:rsid w:val="00820D01"/>
    <w:rsid w:val="00821098"/>
    <w:rsid w:val="00821BD2"/>
    <w:rsid w:val="00821BE0"/>
    <w:rsid w:val="00821DCC"/>
    <w:rsid w:val="00821EDC"/>
    <w:rsid w:val="00822102"/>
    <w:rsid w:val="008227CE"/>
    <w:rsid w:val="0082351B"/>
    <w:rsid w:val="00823664"/>
    <w:rsid w:val="008237BA"/>
    <w:rsid w:val="00823BFA"/>
    <w:rsid w:val="00823F7B"/>
    <w:rsid w:val="00824160"/>
    <w:rsid w:val="008241D7"/>
    <w:rsid w:val="00824E42"/>
    <w:rsid w:val="00825914"/>
    <w:rsid w:val="00825985"/>
    <w:rsid w:val="00825A64"/>
    <w:rsid w:val="00825D3A"/>
    <w:rsid w:val="008263EF"/>
    <w:rsid w:val="00826A81"/>
    <w:rsid w:val="00826CCC"/>
    <w:rsid w:val="0082715C"/>
    <w:rsid w:val="008272E5"/>
    <w:rsid w:val="00827943"/>
    <w:rsid w:val="00827C45"/>
    <w:rsid w:val="00827DE8"/>
    <w:rsid w:val="00827E92"/>
    <w:rsid w:val="00830243"/>
    <w:rsid w:val="00830342"/>
    <w:rsid w:val="008308B9"/>
    <w:rsid w:val="00830CF0"/>
    <w:rsid w:val="00830EA6"/>
    <w:rsid w:val="008310E9"/>
    <w:rsid w:val="008316B4"/>
    <w:rsid w:val="00832019"/>
    <w:rsid w:val="0083207E"/>
    <w:rsid w:val="008323BC"/>
    <w:rsid w:val="0083251B"/>
    <w:rsid w:val="008327BE"/>
    <w:rsid w:val="00832A60"/>
    <w:rsid w:val="00832DB9"/>
    <w:rsid w:val="00832EDE"/>
    <w:rsid w:val="00832F39"/>
    <w:rsid w:val="008331E6"/>
    <w:rsid w:val="00833347"/>
    <w:rsid w:val="0083342B"/>
    <w:rsid w:val="00833468"/>
    <w:rsid w:val="008336F9"/>
    <w:rsid w:val="008337B1"/>
    <w:rsid w:val="00833ECC"/>
    <w:rsid w:val="008343E0"/>
    <w:rsid w:val="0083471C"/>
    <w:rsid w:val="008349BD"/>
    <w:rsid w:val="00834E62"/>
    <w:rsid w:val="00834E6E"/>
    <w:rsid w:val="0083549C"/>
    <w:rsid w:val="00835DDE"/>
    <w:rsid w:val="00835E42"/>
    <w:rsid w:val="00835F5D"/>
    <w:rsid w:val="00835F6D"/>
    <w:rsid w:val="00835FD9"/>
    <w:rsid w:val="00836294"/>
    <w:rsid w:val="00837080"/>
    <w:rsid w:val="0083738D"/>
    <w:rsid w:val="0083766E"/>
    <w:rsid w:val="00837777"/>
    <w:rsid w:val="008377DA"/>
    <w:rsid w:val="00837842"/>
    <w:rsid w:val="00837AC5"/>
    <w:rsid w:val="00837B23"/>
    <w:rsid w:val="00840256"/>
    <w:rsid w:val="00840692"/>
    <w:rsid w:val="008408EE"/>
    <w:rsid w:val="00840CBA"/>
    <w:rsid w:val="008413D2"/>
    <w:rsid w:val="008416D4"/>
    <w:rsid w:val="00841A50"/>
    <w:rsid w:val="00841B74"/>
    <w:rsid w:val="00841D51"/>
    <w:rsid w:val="00841F8F"/>
    <w:rsid w:val="00841F9B"/>
    <w:rsid w:val="008421A9"/>
    <w:rsid w:val="0084231C"/>
    <w:rsid w:val="00842404"/>
    <w:rsid w:val="008424BD"/>
    <w:rsid w:val="00843038"/>
    <w:rsid w:val="00843356"/>
    <w:rsid w:val="008433D7"/>
    <w:rsid w:val="008434D3"/>
    <w:rsid w:val="00843613"/>
    <w:rsid w:val="00843DDA"/>
    <w:rsid w:val="00843E9F"/>
    <w:rsid w:val="00843FA3"/>
    <w:rsid w:val="0084457F"/>
    <w:rsid w:val="00844867"/>
    <w:rsid w:val="00844916"/>
    <w:rsid w:val="00844983"/>
    <w:rsid w:val="00844CB5"/>
    <w:rsid w:val="00844D31"/>
    <w:rsid w:val="00844E1F"/>
    <w:rsid w:val="00845654"/>
    <w:rsid w:val="0084571F"/>
    <w:rsid w:val="00845D7E"/>
    <w:rsid w:val="00846144"/>
    <w:rsid w:val="008462B0"/>
    <w:rsid w:val="00846B7D"/>
    <w:rsid w:val="00846F6F"/>
    <w:rsid w:val="00847306"/>
    <w:rsid w:val="0084761B"/>
    <w:rsid w:val="00847A24"/>
    <w:rsid w:val="00847A75"/>
    <w:rsid w:val="00847D9A"/>
    <w:rsid w:val="008500E3"/>
    <w:rsid w:val="008502A6"/>
    <w:rsid w:val="008502F7"/>
    <w:rsid w:val="0085042C"/>
    <w:rsid w:val="00850671"/>
    <w:rsid w:val="00850D59"/>
    <w:rsid w:val="0085197D"/>
    <w:rsid w:val="00851C7B"/>
    <w:rsid w:val="00851F34"/>
    <w:rsid w:val="00852161"/>
    <w:rsid w:val="0085225A"/>
    <w:rsid w:val="008522DA"/>
    <w:rsid w:val="008523AD"/>
    <w:rsid w:val="00852683"/>
    <w:rsid w:val="00852DF6"/>
    <w:rsid w:val="00853345"/>
    <w:rsid w:val="008533A8"/>
    <w:rsid w:val="008533B4"/>
    <w:rsid w:val="00853410"/>
    <w:rsid w:val="00853452"/>
    <w:rsid w:val="008539E6"/>
    <w:rsid w:val="00853D9F"/>
    <w:rsid w:val="00853F30"/>
    <w:rsid w:val="008540A5"/>
    <w:rsid w:val="008545C3"/>
    <w:rsid w:val="0085475C"/>
    <w:rsid w:val="00854847"/>
    <w:rsid w:val="0085487C"/>
    <w:rsid w:val="00855264"/>
    <w:rsid w:val="008556B9"/>
    <w:rsid w:val="00855776"/>
    <w:rsid w:val="008558AF"/>
    <w:rsid w:val="0085607F"/>
    <w:rsid w:val="0085648C"/>
    <w:rsid w:val="008565A6"/>
    <w:rsid w:val="008579BB"/>
    <w:rsid w:val="00857A98"/>
    <w:rsid w:val="00857AF6"/>
    <w:rsid w:val="00857B3E"/>
    <w:rsid w:val="00857E87"/>
    <w:rsid w:val="00860061"/>
    <w:rsid w:val="00860390"/>
    <w:rsid w:val="0086041E"/>
    <w:rsid w:val="0086175F"/>
    <w:rsid w:val="0086193D"/>
    <w:rsid w:val="00861B01"/>
    <w:rsid w:val="008621F4"/>
    <w:rsid w:val="0086236E"/>
    <w:rsid w:val="00862919"/>
    <w:rsid w:val="00862DCE"/>
    <w:rsid w:val="00862E2B"/>
    <w:rsid w:val="00863274"/>
    <w:rsid w:val="00863385"/>
    <w:rsid w:val="0086345D"/>
    <w:rsid w:val="00863537"/>
    <w:rsid w:val="00863E02"/>
    <w:rsid w:val="008644F3"/>
    <w:rsid w:val="008658F9"/>
    <w:rsid w:val="00865956"/>
    <w:rsid w:val="008659C1"/>
    <w:rsid w:val="00865A92"/>
    <w:rsid w:val="00866908"/>
    <w:rsid w:val="00866AF4"/>
    <w:rsid w:val="00866FE5"/>
    <w:rsid w:val="00867240"/>
    <w:rsid w:val="008677DC"/>
    <w:rsid w:val="00867856"/>
    <w:rsid w:val="00867B89"/>
    <w:rsid w:val="00867D4B"/>
    <w:rsid w:val="0087017C"/>
    <w:rsid w:val="00870990"/>
    <w:rsid w:val="008709B2"/>
    <w:rsid w:val="00870F88"/>
    <w:rsid w:val="00870FB0"/>
    <w:rsid w:val="0087101E"/>
    <w:rsid w:val="0087113A"/>
    <w:rsid w:val="00871809"/>
    <w:rsid w:val="008718E0"/>
    <w:rsid w:val="00871CF7"/>
    <w:rsid w:val="00871D68"/>
    <w:rsid w:val="00872474"/>
    <w:rsid w:val="00872BDF"/>
    <w:rsid w:val="00872F28"/>
    <w:rsid w:val="008736E5"/>
    <w:rsid w:val="008738EC"/>
    <w:rsid w:val="00873F1C"/>
    <w:rsid w:val="00874589"/>
    <w:rsid w:val="0087474D"/>
    <w:rsid w:val="00874765"/>
    <w:rsid w:val="00874809"/>
    <w:rsid w:val="00874934"/>
    <w:rsid w:val="00874B7A"/>
    <w:rsid w:val="00874CB0"/>
    <w:rsid w:val="00874D5F"/>
    <w:rsid w:val="00874DB9"/>
    <w:rsid w:val="00874E5E"/>
    <w:rsid w:val="00875538"/>
    <w:rsid w:val="00875C2B"/>
    <w:rsid w:val="00876229"/>
    <w:rsid w:val="0087626F"/>
    <w:rsid w:val="00876481"/>
    <w:rsid w:val="00876B1B"/>
    <w:rsid w:val="00877606"/>
    <w:rsid w:val="0087780E"/>
    <w:rsid w:val="00877898"/>
    <w:rsid w:val="00877A32"/>
    <w:rsid w:val="00877C12"/>
    <w:rsid w:val="00877C92"/>
    <w:rsid w:val="00880277"/>
    <w:rsid w:val="0088032C"/>
    <w:rsid w:val="00880361"/>
    <w:rsid w:val="00880943"/>
    <w:rsid w:val="00880F2E"/>
    <w:rsid w:val="00880FB3"/>
    <w:rsid w:val="008811FC"/>
    <w:rsid w:val="0088142B"/>
    <w:rsid w:val="0088148F"/>
    <w:rsid w:val="008815EE"/>
    <w:rsid w:val="00881B42"/>
    <w:rsid w:val="00881CF1"/>
    <w:rsid w:val="0088213F"/>
    <w:rsid w:val="008822CF"/>
    <w:rsid w:val="00882588"/>
    <w:rsid w:val="0088260B"/>
    <w:rsid w:val="0088278F"/>
    <w:rsid w:val="00882BC8"/>
    <w:rsid w:val="00882CAA"/>
    <w:rsid w:val="00882CEA"/>
    <w:rsid w:val="00883153"/>
    <w:rsid w:val="00883435"/>
    <w:rsid w:val="00883773"/>
    <w:rsid w:val="00883A32"/>
    <w:rsid w:val="00883D35"/>
    <w:rsid w:val="00883D64"/>
    <w:rsid w:val="008843A6"/>
    <w:rsid w:val="00884479"/>
    <w:rsid w:val="00884D23"/>
    <w:rsid w:val="00884FD9"/>
    <w:rsid w:val="00885290"/>
    <w:rsid w:val="008852C8"/>
    <w:rsid w:val="008855D4"/>
    <w:rsid w:val="008857DA"/>
    <w:rsid w:val="00885B4A"/>
    <w:rsid w:val="00885CE4"/>
    <w:rsid w:val="00885DDB"/>
    <w:rsid w:val="00885EC5"/>
    <w:rsid w:val="00885FC1"/>
    <w:rsid w:val="00886052"/>
    <w:rsid w:val="00886169"/>
    <w:rsid w:val="00886E52"/>
    <w:rsid w:val="0088772F"/>
    <w:rsid w:val="00887A98"/>
    <w:rsid w:val="00890042"/>
    <w:rsid w:val="00890944"/>
    <w:rsid w:val="00890BD1"/>
    <w:rsid w:val="00890C79"/>
    <w:rsid w:val="00890FB1"/>
    <w:rsid w:val="00891040"/>
    <w:rsid w:val="008912A0"/>
    <w:rsid w:val="008916E3"/>
    <w:rsid w:val="0089173A"/>
    <w:rsid w:val="00891872"/>
    <w:rsid w:val="00891A01"/>
    <w:rsid w:val="00891C9E"/>
    <w:rsid w:val="00891D95"/>
    <w:rsid w:val="00891E5B"/>
    <w:rsid w:val="00891F88"/>
    <w:rsid w:val="00892165"/>
    <w:rsid w:val="0089228F"/>
    <w:rsid w:val="008922B2"/>
    <w:rsid w:val="008922F4"/>
    <w:rsid w:val="0089267F"/>
    <w:rsid w:val="008927C4"/>
    <w:rsid w:val="008939B2"/>
    <w:rsid w:val="00893A09"/>
    <w:rsid w:val="00894066"/>
    <w:rsid w:val="0089410B"/>
    <w:rsid w:val="0089438D"/>
    <w:rsid w:val="0089471C"/>
    <w:rsid w:val="00894748"/>
    <w:rsid w:val="00894F2E"/>
    <w:rsid w:val="0089504F"/>
    <w:rsid w:val="00895585"/>
    <w:rsid w:val="008959B0"/>
    <w:rsid w:val="00895E51"/>
    <w:rsid w:val="00896426"/>
    <w:rsid w:val="00896535"/>
    <w:rsid w:val="008967C1"/>
    <w:rsid w:val="00896E32"/>
    <w:rsid w:val="00896E79"/>
    <w:rsid w:val="0089758D"/>
    <w:rsid w:val="00897A21"/>
    <w:rsid w:val="008A0780"/>
    <w:rsid w:val="008A0BD4"/>
    <w:rsid w:val="008A0C48"/>
    <w:rsid w:val="008A13A7"/>
    <w:rsid w:val="008A14E2"/>
    <w:rsid w:val="008A14EF"/>
    <w:rsid w:val="008A1F32"/>
    <w:rsid w:val="008A2336"/>
    <w:rsid w:val="008A2EC3"/>
    <w:rsid w:val="008A34DE"/>
    <w:rsid w:val="008A3710"/>
    <w:rsid w:val="008A3903"/>
    <w:rsid w:val="008A396B"/>
    <w:rsid w:val="008A3B48"/>
    <w:rsid w:val="008A416B"/>
    <w:rsid w:val="008A4222"/>
    <w:rsid w:val="008A4AAD"/>
    <w:rsid w:val="008A521E"/>
    <w:rsid w:val="008A5B5E"/>
    <w:rsid w:val="008A5FA7"/>
    <w:rsid w:val="008A6023"/>
    <w:rsid w:val="008A6435"/>
    <w:rsid w:val="008A6BFB"/>
    <w:rsid w:val="008A6EB9"/>
    <w:rsid w:val="008A7094"/>
    <w:rsid w:val="008A72D2"/>
    <w:rsid w:val="008A7633"/>
    <w:rsid w:val="008A76D1"/>
    <w:rsid w:val="008A79E2"/>
    <w:rsid w:val="008A7C3E"/>
    <w:rsid w:val="008A7D56"/>
    <w:rsid w:val="008B0081"/>
    <w:rsid w:val="008B013F"/>
    <w:rsid w:val="008B014D"/>
    <w:rsid w:val="008B0462"/>
    <w:rsid w:val="008B04DD"/>
    <w:rsid w:val="008B08D6"/>
    <w:rsid w:val="008B0ADE"/>
    <w:rsid w:val="008B0F0C"/>
    <w:rsid w:val="008B0F90"/>
    <w:rsid w:val="008B1844"/>
    <w:rsid w:val="008B189E"/>
    <w:rsid w:val="008B1BEA"/>
    <w:rsid w:val="008B1C15"/>
    <w:rsid w:val="008B1E6B"/>
    <w:rsid w:val="008B1F67"/>
    <w:rsid w:val="008B29A7"/>
    <w:rsid w:val="008B2B20"/>
    <w:rsid w:val="008B3E62"/>
    <w:rsid w:val="008B4204"/>
    <w:rsid w:val="008B4B3B"/>
    <w:rsid w:val="008B4EE4"/>
    <w:rsid w:val="008B53E6"/>
    <w:rsid w:val="008B57C9"/>
    <w:rsid w:val="008B5A92"/>
    <w:rsid w:val="008B5AA7"/>
    <w:rsid w:val="008B5C34"/>
    <w:rsid w:val="008B5C7A"/>
    <w:rsid w:val="008B657A"/>
    <w:rsid w:val="008B664C"/>
    <w:rsid w:val="008B737B"/>
    <w:rsid w:val="008B7437"/>
    <w:rsid w:val="008B746F"/>
    <w:rsid w:val="008B763F"/>
    <w:rsid w:val="008B770B"/>
    <w:rsid w:val="008B794E"/>
    <w:rsid w:val="008B7C5A"/>
    <w:rsid w:val="008B7E6D"/>
    <w:rsid w:val="008C06D9"/>
    <w:rsid w:val="008C0F1C"/>
    <w:rsid w:val="008C10AD"/>
    <w:rsid w:val="008C10EC"/>
    <w:rsid w:val="008C10F1"/>
    <w:rsid w:val="008C15EF"/>
    <w:rsid w:val="008C1777"/>
    <w:rsid w:val="008C1CDA"/>
    <w:rsid w:val="008C24A3"/>
    <w:rsid w:val="008C2997"/>
    <w:rsid w:val="008C2BB5"/>
    <w:rsid w:val="008C2C98"/>
    <w:rsid w:val="008C2CE9"/>
    <w:rsid w:val="008C2E55"/>
    <w:rsid w:val="008C305F"/>
    <w:rsid w:val="008C32B6"/>
    <w:rsid w:val="008C3C4E"/>
    <w:rsid w:val="008C3DBB"/>
    <w:rsid w:val="008C3E36"/>
    <w:rsid w:val="008C4024"/>
    <w:rsid w:val="008C402F"/>
    <w:rsid w:val="008C42DF"/>
    <w:rsid w:val="008C43D9"/>
    <w:rsid w:val="008C4671"/>
    <w:rsid w:val="008C4E6F"/>
    <w:rsid w:val="008C51A7"/>
    <w:rsid w:val="008C54A1"/>
    <w:rsid w:val="008C585D"/>
    <w:rsid w:val="008C5A44"/>
    <w:rsid w:val="008C60F7"/>
    <w:rsid w:val="008C657B"/>
    <w:rsid w:val="008C6688"/>
    <w:rsid w:val="008C66C0"/>
    <w:rsid w:val="008C67F0"/>
    <w:rsid w:val="008C687D"/>
    <w:rsid w:val="008C6A70"/>
    <w:rsid w:val="008C76AF"/>
    <w:rsid w:val="008C7819"/>
    <w:rsid w:val="008C7BE7"/>
    <w:rsid w:val="008D052D"/>
    <w:rsid w:val="008D09F8"/>
    <w:rsid w:val="008D14E5"/>
    <w:rsid w:val="008D1820"/>
    <w:rsid w:val="008D1E83"/>
    <w:rsid w:val="008D1EBB"/>
    <w:rsid w:val="008D254B"/>
    <w:rsid w:val="008D2727"/>
    <w:rsid w:val="008D2879"/>
    <w:rsid w:val="008D28F7"/>
    <w:rsid w:val="008D2A6E"/>
    <w:rsid w:val="008D2E14"/>
    <w:rsid w:val="008D333E"/>
    <w:rsid w:val="008D3824"/>
    <w:rsid w:val="008D3856"/>
    <w:rsid w:val="008D3C91"/>
    <w:rsid w:val="008D3CEC"/>
    <w:rsid w:val="008D3F52"/>
    <w:rsid w:val="008D3F89"/>
    <w:rsid w:val="008D3FD8"/>
    <w:rsid w:val="008D438B"/>
    <w:rsid w:val="008D497E"/>
    <w:rsid w:val="008D4984"/>
    <w:rsid w:val="008D52A7"/>
    <w:rsid w:val="008D55E1"/>
    <w:rsid w:val="008D5766"/>
    <w:rsid w:val="008D5894"/>
    <w:rsid w:val="008D597C"/>
    <w:rsid w:val="008D5A54"/>
    <w:rsid w:val="008D5B8C"/>
    <w:rsid w:val="008D5C7A"/>
    <w:rsid w:val="008D5E90"/>
    <w:rsid w:val="008D5EAE"/>
    <w:rsid w:val="008D6376"/>
    <w:rsid w:val="008D645C"/>
    <w:rsid w:val="008D662A"/>
    <w:rsid w:val="008D68EC"/>
    <w:rsid w:val="008D6A11"/>
    <w:rsid w:val="008D7C39"/>
    <w:rsid w:val="008D7C7F"/>
    <w:rsid w:val="008E03A2"/>
    <w:rsid w:val="008E0E6A"/>
    <w:rsid w:val="008E10C1"/>
    <w:rsid w:val="008E1289"/>
    <w:rsid w:val="008E15AF"/>
    <w:rsid w:val="008E16A8"/>
    <w:rsid w:val="008E19B8"/>
    <w:rsid w:val="008E1B4F"/>
    <w:rsid w:val="008E213B"/>
    <w:rsid w:val="008E2D5C"/>
    <w:rsid w:val="008E30AE"/>
    <w:rsid w:val="008E3146"/>
    <w:rsid w:val="008E31BC"/>
    <w:rsid w:val="008E37D5"/>
    <w:rsid w:val="008E39B9"/>
    <w:rsid w:val="008E3DD6"/>
    <w:rsid w:val="008E445D"/>
    <w:rsid w:val="008E4478"/>
    <w:rsid w:val="008E4766"/>
    <w:rsid w:val="008E47A0"/>
    <w:rsid w:val="008E508B"/>
    <w:rsid w:val="008E54AB"/>
    <w:rsid w:val="008E5683"/>
    <w:rsid w:val="008E5809"/>
    <w:rsid w:val="008E5DA4"/>
    <w:rsid w:val="008E5ED7"/>
    <w:rsid w:val="008E622E"/>
    <w:rsid w:val="008E690A"/>
    <w:rsid w:val="008E6F11"/>
    <w:rsid w:val="008E706B"/>
    <w:rsid w:val="008E7166"/>
    <w:rsid w:val="008E71A3"/>
    <w:rsid w:val="008E7471"/>
    <w:rsid w:val="008E750D"/>
    <w:rsid w:val="008E76B0"/>
    <w:rsid w:val="008E788A"/>
    <w:rsid w:val="008E78DF"/>
    <w:rsid w:val="008F0389"/>
    <w:rsid w:val="008F0F06"/>
    <w:rsid w:val="008F13F2"/>
    <w:rsid w:val="008F1692"/>
    <w:rsid w:val="008F19AF"/>
    <w:rsid w:val="008F22FB"/>
    <w:rsid w:val="008F2C4D"/>
    <w:rsid w:val="008F2CCF"/>
    <w:rsid w:val="008F3E98"/>
    <w:rsid w:val="008F3EBC"/>
    <w:rsid w:val="008F4685"/>
    <w:rsid w:val="008F47D3"/>
    <w:rsid w:val="008F48E1"/>
    <w:rsid w:val="008F4AC9"/>
    <w:rsid w:val="008F4D06"/>
    <w:rsid w:val="008F5C0D"/>
    <w:rsid w:val="008F5C5A"/>
    <w:rsid w:val="008F6347"/>
    <w:rsid w:val="008F649B"/>
    <w:rsid w:val="008F64F6"/>
    <w:rsid w:val="008F6C90"/>
    <w:rsid w:val="008F6F65"/>
    <w:rsid w:val="008F7386"/>
    <w:rsid w:val="008F78C9"/>
    <w:rsid w:val="008F79A2"/>
    <w:rsid w:val="008F7A33"/>
    <w:rsid w:val="008F7ACA"/>
    <w:rsid w:val="008F7D87"/>
    <w:rsid w:val="00900720"/>
    <w:rsid w:val="0090087A"/>
    <w:rsid w:val="00900882"/>
    <w:rsid w:val="0090096C"/>
    <w:rsid w:val="009009F2"/>
    <w:rsid w:val="00900CFF"/>
    <w:rsid w:val="00901A0D"/>
    <w:rsid w:val="00901B50"/>
    <w:rsid w:val="00901D8B"/>
    <w:rsid w:val="00901D98"/>
    <w:rsid w:val="009024E4"/>
    <w:rsid w:val="00903072"/>
    <w:rsid w:val="0090318C"/>
    <w:rsid w:val="009035CE"/>
    <w:rsid w:val="0090366F"/>
    <w:rsid w:val="00903CB0"/>
    <w:rsid w:val="00903D66"/>
    <w:rsid w:val="00903DDF"/>
    <w:rsid w:val="00904205"/>
    <w:rsid w:val="00904330"/>
    <w:rsid w:val="009047D9"/>
    <w:rsid w:val="009049E1"/>
    <w:rsid w:val="00904F0F"/>
    <w:rsid w:val="00905458"/>
    <w:rsid w:val="00905644"/>
    <w:rsid w:val="00905719"/>
    <w:rsid w:val="00905A13"/>
    <w:rsid w:val="009062D5"/>
    <w:rsid w:val="009067D7"/>
    <w:rsid w:val="00907D9E"/>
    <w:rsid w:val="00910147"/>
    <w:rsid w:val="009110DB"/>
    <w:rsid w:val="009113C0"/>
    <w:rsid w:val="00911CE1"/>
    <w:rsid w:val="00912B28"/>
    <w:rsid w:val="00912CBD"/>
    <w:rsid w:val="00912DC3"/>
    <w:rsid w:val="00912E80"/>
    <w:rsid w:val="00913322"/>
    <w:rsid w:val="0091358A"/>
    <w:rsid w:val="009136F4"/>
    <w:rsid w:val="00913A82"/>
    <w:rsid w:val="00913E8A"/>
    <w:rsid w:val="00914943"/>
    <w:rsid w:val="0091511C"/>
    <w:rsid w:val="00915212"/>
    <w:rsid w:val="009152B1"/>
    <w:rsid w:val="00915579"/>
    <w:rsid w:val="00915AC3"/>
    <w:rsid w:val="00915B5A"/>
    <w:rsid w:val="00915F89"/>
    <w:rsid w:val="00916492"/>
    <w:rsid w:val="009169F7"/>
    <w:rsid w:val="00916A22"/>
    <w:rsid w:val="00917059"/>
    <w:rsid w:val="00917910"/>
    <w:rsid w:val="00917C4D"/>
    <w:rsid w:val="009203C6"/>
    <w:rsid w:val="00920522"/>
    <w:rsid w:val="00920853"/>
    <w:rsid w:val="009208A2"/>
    <w:rsid w:val="00920A78"/>
    <w:rsid w:val="00920AE5"/>
    <w:rsid w:val="00920C28"/>
    <w:rsid w:val="00920FD2"/>
    <w:rsid w:val="00921036"/>
    <w:rsid w:val="00921324"/>
    <w:rsid w:val="00921954"/>
    <w:rsid w:val="00921ABC"/>
    <w:rsid w:val="00921B6D"/>
    <w:rsid w:val="00921EC7"/>
    <w:rsid w:val="0092200B"/>
    <w:rsid w:val="0092269E"/>
    <w:rsid w:val="00922BAF"/>
    <w:rsid w:val="0092336F"/>
    <w:rsid w:val="00923953"/>
    <w:rsid w:val="00923A5C"/>
    <w:rsid w:val="00923B63"/>
    <w:rsid w:val="00923C91"/>
    <w:rsid w:val="00923D45"/>
    <w:rsid w:val="0092432D"/>
    <w:rsid w:val="00924344"/>
    <w:rsid w:val="00924A20"/>
    <w:rsid w:val="00924E09"/>
    <w:rsid w:val="009251A8"/>
    <w:rsid w:val="009257F1"/>
    <w:rsid w:val="00925E2E"/>
    <w:rsid w:val="00925F44"/>
    <w:rsid w:val="0092613E"/>
    <w:rsid w:val="00926AEE"/>
    <w:rsid w:val="00926B61"/>
    <w:rsid w:val="00926D57"/>
    <w:rsid w:val="00926D89"/>
    <w:rsid w:val="00926F92"/>
    <w:rsid w:val="00927034"/>
    <w:rsid w:val="00927279"/>
    <w:rsid w:val="0092732C"/>
    <w:rsid w:val="00927441"/>
    <w:rsid w:val="00927768"/>
    <w:rsid w:val="00927856"/>
    <w:rsid w:val="009305CE"/>
    <w:rsid w:val="00930B12"/>
    <w:rsid w:val="00930C4A"/>
    <w:rsid w:val="00930CAF"/>
    <w:rsid w:val="00930E5E"/>
    <w:rsid w:val="00931271"/>
    <w:rsid w:val="00931591"/>
    <w:rsid w:val="009315E6"/>
    <w:rsid w:val="009317CD"/>
    <w:rsid w:val="009317DE"/>
    <w:rsid w:val="00931C94"/>
    <w:rsid w:val="00932051"/>
    <w:rsid w:val="009320B1"/>
    <w:rsid w:val="00932285"/>
    <w:rsid w:val="00932B5A"/>
    <w:rsid w:val="00932B9F"/>
    <w:rsid w:val="00932FEF"/>
    <w:rsid w:val="009333DE"/>
    <w:rsid w:val="00933813"/>
    <w:rsid w:val="00933B96"/>
    <w:rsid w:val="00933D36"/>
    <w:rsid w:val="00933FFF"/>
    <w:rsid w:val="0093473B"/>
    <w:rsid w:val="00934B0D"/>
    <w:rsid w:val="00935275"/>
    <w:rsid w:val="0093551A"/>
    <w:rsid w:val="0093551F"/>
    <w:rsid w:val="00935917"/>
    <w:rsid w:val="00935922"/>
    <w:rsid w:val="00935B9F"/>
    <w:rsid w:val="00935D1A"/>
    <w:rsid w:val="00935E3D"/>
    <w:rsid w:val="009360A1"/>
    <w:rsid w:val="009364AD"/>
    <w:rsid w:val="0093653F"/>
    <w:rsid w:val="0093661D"/>
    <w:rsid w:val="00936C46"/>
    <w:rsid w:val="00936D2D"/>
    <w:rsid w:val="0093713F"/>
    <w:rsid w:val="009377C3"/>
    <w:rsid w:val="009379FC"/>
    <w:rsid w:val="009407DC"/>
    <w:rsid w:val="0094102A"/>
    <w:rsid w:val="0094111F"/>
    <w:rsid w:val="0094124F"/>
    <w:rsid w:val="00941395"/>
    <w:rsid w:val="0094156D"/>
    <w:rsid w:val="009419D5"/>
    <w:rsid w:val="00941AC4"/>
    <w:rsid w:val="00941AD3"/>
    <w:rsid w:val="00941BCC"/>
    <w:rsid w:val="00941D6E"/>
    <w:rsid w:val="00941EE1"/>
    <w:rsid w:val="00942307"/>
    <w:rsid w:val="0094238A"/>
    <w:rsid w:val="009424C7"/>
    <w:rsid w:val="009425C1"/>
    <w:rsid w:val="00942D33"/>
    <w:rsid w:val="00942D9B"/>
    <w:rsid w:val="00942E3A"/>
    <w:rsid w:val="00942FAD"/>
    <w:rsid w:val="009432CB"/>
    <w:rsid w:val="009433E6"/>
    <w:rsid w:val="009437FE"/>
    <w:rsid w:val="00943A65"/>
    <w:rsid w:val="00943F4E"/>
    <w:rsid w:val="00944225"/>
    <w:rsid w:val="0094426B"/>
    <w:rsid w:val="00944332"/>
    <w:rsid w:val="0094455C"/>
    <w:rsid w:val="009446BF"/>
    <w:rsid w:val="009448A7"/>
    <w:rsid w:val="0094498B"/>
    <w:rsid w:val="00945187"/>
    <w:rsid w:val="009455F9"/>
    <w:rsid w:val="00945C39"/>
    <w:rsid w:val="00945DD0"/>
    <w:rsid w:val="00945ECB"/>
    <w:rsid w:val="0094617B"/>
    <w:rsid w:val="00947520"/>
    <w:rsid w:val="009476D3"/>
    <w:rsid w:val="00947BD0"/>
    <w:rsid w:val="00947C3B"/>
    <w:rsid w:val="0095034E"/>
    <w:rsid w:val="00950466"/>
    <w:rsid w:val="0095050A"/>
    <w:rsid w:val="009507C3"/>
    <w:rsid w:val="0095106D"/>
    <w:rsid w:val="00951726"/>
    <w:rsid w:val="00951E5E"/>
    <w:rsid w:val="00951F4E"/>
    <w:rsid w:val="00952ABD"/>
    <w:rsid w:val="00952E40"/>
    <w:rsid w:val="00952F00"/>
    <w:rsid w:val="009530F9"/>
    <w:rsid w:val="009534E7"/>
    <w:rsid w:val="00953F15"/>
    <w:rsid w:val="00954120"/>
    <w:rsid w:val="00954136"/>
    <w:rsid w:val="00954306"/>
    <w:rsid w:val="0095437D"/>
    <w:rsid w:val="0095449C"/>
    <w:rsid w:val="0095450A"/>
    <w:rsid w:val="00954BD0"/>
    <w:rsid w:val="00954F21"/>
    <w:rsid w:val="0095595F"/>
    <w:rsid w:val="00955968"/>
    <w:rsid w:val="00955E08"/>
    <w:rsid w:val="00956119"/>
    <w:rsid w:val="00956229"/>
    <w:rsid w:val="00956322"/>
    <w:rsid w:val="00956447"/>
    <w:rsid w:val="0095666A"/>
    <w:rsid w:val="009567C6"/>
    <w:rsid w:val="00956A13"/>
    <w:rsid w:val="00956B59"/>
    <w:rsid w:val="00957193"/>
    <w:rsid w:val="009571A9"/>
    <w:rsid w:val="00957605"/>
    <w:rsid w:val="009579AD"/>
    <w:rsid w:val="00957B94"/>
    <w:rsid w:val="00957BE8"/>
    <w:rsid w:val="00957C38"/>
    <w:rsid w:val="00957EE5"/>
    <w:rsid w:val="0096028E"/>
    <w:rsid w:val="009602B0"/>
    <w:rsid w:val="00960435"/>
    <w:rsid w:val="00960E9F"/>
    <w:rsid w:val="009612BE"/>
    <w:rsid w:val="009613C0"/>
    <w:rsid w:val="009618D2"/>
    <w:rsid w:val="00962640"/>
    <w:rsid w:val="009626EF"/>
    <w:rsid w:val="00962968"/>
    <w:rsid w:val="00962ADD"/>
    <w:rsid w:val="009630A9"/>
    <w:rsid w:val="009631A6"/>
    <w:rsid w:val="009632DB"/>
    <w:rsid w:val="0096347F"/>
    <w:rsid w:val="00963877"/>
    <w:rsid w:val="00963CE5"/>
    <w:rsid w:val="00964292"/>
    <w:rsid w:val="00964647"/>
    <w:rsid w:val="00964840"/>
    <w:rsid w:val="00964A16"/>
    <w:rsid w:val="00964AD0"/>
    <w:rsid w:val="00964FEC"/>
    <w:rsid w:val="00965956"/>
    <w:rsid w:val="009659D8"/>
    <w:rsid w:val="00965EA2"/>
    <w:rsid w:val="009661EF"/>
    <w:rsid w:val="00966764"/>
    <w:rsid w:val="00966A22"/>
    <w:rsid w:val="00966B73"/>
    <w:rsid w:val="00966C1D"/>
    <w:rsid w:val="00966E43"/>
    <w:rsid w:val="00967077"/>
    <w:rsid w:val="00967158"/>
    <w:rsid w:val="00967AB7"/>
    <w:rsid w:val="00967AD2"/>
    <w:rsid w:val="00967FC2"/>
    <w:rsid w:val="00970327"/>
    <w:rsid w:val="0097092B"/>
    <w:rsid w:val="00970D0E"/>
    <w:rsid w:val="00970EB2"/>
    <w:rsid w:val="00970F32"/>
    <w:rsid w:val="00970FE9"/>
    <w:rsid w:val="0097100E"/>
    <w:rsid w:val="00971220"/>
    <w:rsid w:val="009712C8"/>
    <w:rsid w:val="009712CF"/>
    <w:rsid w:val="00971F0B"/>
    <w:rsid w:val="00972509"/>
    <w:rsid w:val="00972544"/>
    <w:rsid w:val="009725A3"/>
    <w:rsid w:val="00972C53"/>
    <w:rsid w:val="00972DB0"/>
    <w:rsid w:val="00972EA8"/>
    <w:rsid w:val="0097337A"/>
    <w:rsid w:val="00973492"/>
    <w:rsid w:val="009737B0"/>
    <w:rsid w:val="00973802"/>
    <w:rsid w:val="00973C0B"/>
    <w:rsid w:val="0097423F"/>
    <w:rsid w:val="0097467F"/>
    <w:rsid w:val="009749DF"/>
    <w:rsid w:val="00974B42"/>
    <w:rsid w:val="00974F90"/>
    <w:rsid w:val="009758AF"/>
    <w:rsid w:val="00975C8F"/>
    <w:rsid w:val="00975F58"/>
    <w:rsid w:val="00975F80"/>
    <w:rsid w:val="009761E7"/>
    <w:rsid w:val="0097627A"/>
    <w:rsid w:val="00976C80"/>
    <w:rsid w:val="00976CF7"/>
    <w:rsid w:val="0097736D"/>
    <w:rsid w:val="00977B9A"/>
    <w:rsid w:val="00977BD1"/>
    <w:rsid w:val="00977C6D"/>
    <w:rsid w:val="00980147"/>
    <w:rsid w:val="009808A2"/>
    <w:rsid w:val="00980BBF"/>
    <w:rsid w:val="00980E98"/>
    <w:rsid w:val="00980F5E"/>
    <w:rsid w:val="0098166D"/>
    <w:rsid w:val="0098195A"/>
    <w:rsid w:val="00981EC5"/>
    <w:rsid w:val="00982277"/>
    <w:rsid w:val="009827BF"/>
    <w:rsid w:val="009828E7"/>
    <w:rsid w:val="00982F06"/>
    <w:rsid w:val="00982F32"/>
    <w:rsid w:val="00983196"/>
    <w:rsid w:val="009837E8"/>
    <w:rsid w:val="00983821"/>
    <w:rsid w:val="009839CF"/>
    <w:rsid w:val="00983C14"/>
    <w:rsid w:val="0098400D"/>
    <w:rsid w:val="009843E5"/>
    <w:rsid w:val="0098463E"/>
    <w:rsid w:val="009849C1"/>
    <w:rsid w:val="00984CAA"/>
    <w:rsid w:val="00984D15"/>
    <w:rsid w:val="00984E02"/>
    <w:rsid w:val="0098512E"/>
    <w:rsid w:val="009853AB"/>
    <w:rsid w:val="0098577B"/>
    <w:rsid w:val="00985ACB"/>
    <w:rsid w:val="00985DEB"/>
    <w:rsid w:val="00985F22"/>
    <w:rsid w:val="009860FA"/>
    <w:rsid w:val="00986118"/>
    <w:rsid w:val="00986190"/>
    <w:rsid w:val="0098680E"/>
    <w:rsid w:val="00986B3B"/>
    <w:rsid w:val="00986CB4"/>
    <w:rsid w:val="00986CBA"/>
    <w:rsid w:val="00986D56"/>
    <w:rsid w:val="00986E10"/>
    <w:rsid w:val="00986F68"/>
    <w:rsid w:val="009876D1"/>
    <w:rsid w:val="00987804"/>
    <w:rsid w:val="00987BF3"/>
    <w:rsid w:val="00987D36"/>
    <w:rsid w:val="00990811"/>
    <w:rsid w:val="00990BCF"/>
    <w:rsid w:val="00990EAD"/>
    <w:rsid w:val="00990F06"/>
    <w:rsid w:val="00990F0D"/>
    <w:rsid w:val="0099149E"/>
    <w:rsid w:val="0099180E"/>
    <w:rsid w:val="009918D8"/>
    <w:rsid w:val="00991E24"/>
    <w:rsid w:val="009920A1"/>
    <w:rsid w:val="00992357"/>
    <w:rsid w:val="00992537"/>
    <w:rsid w:val="0099275C"/>
    <w:rsid w:val="00992829"/>
    <w:rsid w:val="00992CE3"/>
    <w:rsid w:val="00992D25"/>
    <w:rsid w:val="00992E5C"/>
    <w:rsid w:val="009936D3"/>
    <w:rsid w:val="009939D8"/>
    <w:rsid w:val="00993D4F"/>
    <w:rsid w:val="00993E64"/>
    <w:rsid w:val="00993F01"/>
    <w:rsid w:val="00993F14"/>
    <w:rsid w:val="009948C8"/>
    <w:rsid w:val="0099491E"/>
    <w:rsid w:val="00994AB7"/>
    <w:rsid w:val="00994B32"/>
    <w:rsid w:val="00994CAB"/>
    <w:rsid w:val="00994E28"/>
    <w:rsid w:val="00994F06"/>
    <w:rsid w:val="0099530B"/>
    <w:rsid w:val="00996639"/>
    <w:rsid w:val="00996706"/>
    <w:rsid w:val="009968F6"/>
    <w:rsid w:val="00996DC1"/>
    <w:rsid w:val="00996E06"/>
    <w:rsid w:val="0099726C"/>
    <w:rsid w:val="0099727F"/>
    <w:rsid w:val="00997697"/>
    <w:rsid w:val="009977A5"/>
    <w:rsid w:val="00997945"/>
    <w:rsid w:val="00997C79"/>
    <w:rsid w:val="009A0929"/>
    <w:rsid w:val="009A0979"/>
    <w:rsid w:val="009A0C0B"/>
    <w:rsid w:val="009A0D45"/>
    <w:rsid w:val="009A0E24"/>
    <w:rsid w:val="009A101A"/>
    <w:rsid w:val="009A18AC"/>
    <w:rsid w:val="009A18BE"/>
    <w:rsid w:val="009A1E5A"/>
    <w:rsid w:val="009A21C8"/>
    <w:rsid w:val="009A23DD"/>
    <w:rsid w:val="009A2944"/>
    <w:rsid w:val="009A313A"/>
    <w:rsid w:val="009A32C2"/>
    <w:rsid w:val="009A3B90"/>
    <w:rsid w:val="009A3CDE"/>
    <w:rsid w:val="009A3DAB"/>
    <w:rsid w:val="009A3DC4"/>
    <w:rsid w:val="009A405E"/>
    <w:rsid w:val="009A4516"/>
    <w:rsid w:val="009A4AA5"/>
    <w:rsid w:val="009A4B53"/>
    <w:rsid w:val="009A4C85"/>
    <w:rsid w:val="009A4D3F"/>
    <w:rsid w:val="009A53C4"/>
    <w:rsid w:val="009A54A7"/>
    <w:rsid w:val="009A579C"/>
    <w:rsid w:val="009A61F2"/>
    <w:rsid w:val="009A6308"/>
    <w:rsid w:val="009A6BF4"/>
    <w:rsid w:val="009A6CEA"/>
    <w:rsid w:val="009A6FA0"/>
    <w:rsid w:val="009A7036"/>
    <w:rsid w:val="009A78F8"/>
    <w:rsid w:val="009A7E71"/>
    <w:rsid w:val="009A7EC9"/>
    <w:rsid w:val="009B00CE"/>
    <w:rsid w:val="009B0236"/>
    <w:rsid w:val="009B0983"/>
    <w:rsid w:val="009B09EB"/>
    <w:rsid w:val="009B0A2A"/>
    <w:rsid w:val="009B0EC1"/>
    <w:rsid w:val="009B185E"/>
    <w:rsid w:val="009B18AB"/>
    <w:rsid w:val="009B191B"/>
    <w:rsid w:val="009B1EFD"/>
    <w:rsid w:val="009B2201"/>
    <w:rsid w:val="009B229B"/>
    <w:rsid w:val="009B28E8"/>
    <w:rsid w:val="009B2F9F"/>
    <w:rsid w:val="009B30AE"/>
    <w:rsid w:val="009B37B8"/>
    <w:rsid w:val="009B38F2"/>
    <w:rsid w:val="009B39CE"/>
    <w:rsid w:val="009B3A39"/>
    <w:rsid w:val="009B3D8D"/>
    <w:rsid w:val="009B400A"/>
    <w:rsid w:val="009B406F"/>
    <w:rsid w:val="009B51E7"/>
    <w:rsid w:val="009B5382"/>
    <w:rsid w:val="009B5557"/>
    <w:rsid w:val="009B58A9"/>
    <w:rsid w:val="009B5B39"/>
    <w:rsid w:val="009B5CC0"/>
    <w:rsid w:val="009B5E13"/>
    <w:rsid w:val="009B6A6B"/>
    <w:rsid w:val="009B6CB5"/>
    <w:rsid w:val="009B6E13"/>
    <w:rsid w:val="009B7958"/>
    <w:rsid w:val="009B7F28"/>
    <w:rsid w:val="009C005A"/>
    <w:rsid w:val="009C0A53"/>
    <w:rsid w:val="009C0AA7"/>
    <w:rsid w:val="009C0AB3"/>
    <w:rsid w:val="009C0D0D"/>
    <w:rsid w:val="009C12A8"/>
    <w:rsid w:val="009C1C62"/>
    <w:rsid w:val="009C1DF3"/>
    <w:rsid w:val="009C202E"/>
    <w:rsid w:val="009C2059"/>
    <w:rsid w:val="009C2420"/>
    <w:rsid w:val="009C2675"/>
    <w:rsid w:val="009C2CC7"/>
    <w:rsid w:val="009C3449"/>
    <w:rsid w:val="009C3805"/>
    <w:rsid w:val="009C3B7A"/>
    <w:rsid w:val="009C3C9B"/>
    <w:rsid w:val="009C3E3E"/>
    <w:rsid w:val="009C4487"/>
    <w:rsid w:val="009C44E4"/>
    <w:rsid w:val="009C467E"/>
    <w:rsid w:val="009C480C"/>
    <w:rsid w:val="009C49A6"/>
    <w:rsid w:val="009C524B"/>
    <w:rsid w:val="009C53C7"/>
    <w:rsid w:val="009C5A06"/>
    <w:rsid w:val="009C5F90"/>
    <w:rsid w:val="009C6627"/>
    <w:rsid w:val="009C66A0"/>
    <w:rsid w:val="009C6BB2"/>
    <w:rsid w:val="009C6ECE"/>
    <w:rsid w:val="009C713D"/>
    <w:rsid w:val="009C732B"/>
    <w:rsid w:val="009C73FF"/>
    <w:rsid w:val="009C74AB"/>
    <w:rsid w:val="009C7C6D"/>
    <w:rsid w:val="009D07C0"/>
    <w:rsid w:val="009D07D8"/>
    <w:rsid w:val="009D102D"/>
    <w:rsid w:val="009D12AF"/>
    <w:rsid w:val="009D15C5"/>
    <w:rsid w:val="009D1B62"/>
    <w:rsid w:val="009D22E1"/>
    <w:rsid w:val="009D24AD"/>
    <w:rsid w:val="009D24D9"/>
    <w:rsid w:val="009D2616"/>
    <w:rsid w:val="009D29AF"/>
    <w:rsid w:val="009D3165"/>
    <w:rsid w:val="009D3562"/>
    <w:rsid w:val="009D36EA"/>
    <w:rsid w:val="009D37AA"/>
    <w:rsid w:val="009D3F0B"/>
    <w:rsid w:val="009D41A5"/>
    <w:rsid w:val="009D4331"/>
    <w:rsid w:val="009D4762"/>
    <w:rsid w:val="009D48C5"/>
    <w:rsid w:val="009D4903"/>
    <w:rsid w:val="009D49AE"/>
    <w:rsid w:val="009D4BC9"/>
    <w:rsid w:val="009D4C4D"/>
    <w:rsid w:val="009D4CE8"/>
    <w:rsid w:val="009D52A1"/>
    <w:rsid w:val="009D54C9"/>
    <w:rsid w:val="009D564F"/>
    <w:rsid w:val="009D57F8"/>
    <w:rsid w:val="009D5B78"/>
    <w:rsid w:val="009D5B8F"/>
    <w:rsid w:val="009D638B"/>
    <w:rsid w:val="009D6430"/>
    <w:rsid w:val="009D6857"/>
    <w:rsid w:val="009D6A34"/>
    <w:rsid w:val="009D6BFE"/>
    <w:rsid w:val="009D723A"/>
    <w:rsid w:val="009D79B0"/>
    <w:rsid w:val="009D7AA0"/>
    <w:rsid w:val="009D7BE2"/>
    <w:rsid w:val="009E014F"/>
    <w:rsid w:val="009E01C6"/>
    <w:rsid w:val="009E070E"/>
    <w:rsid w:val="009E0BA6"/>
    <w:rsid w:val="009E1166"/>
    <w:rsid w:val="009E1245"/>
    <w:rsid w:val="009E13D6"/>
    <w:rsid w:val="009E1BB5"/>
    <w:rsid w:val="009E1E1D"/>
    <w:rsid w:val="009E2E64"/>
    <w:rsid w:val="009E2EBE"/>
    <w:rsid w:val="009E33ED"/>
    <w:rsid w:val="009E389F"/>
    <w:rsid w:val="009E3D4F"/>
    <w:rsid w:val="009E42AA"/>
    <w:rsid w:val="009E46B8"/>
    <w:rsid w:val="009E47B9"/>
    <w:rsid w:val="009E495D"/>
    <w:rsid w:val="009E5DCE"/>
    <w:rsid w:val="009E5EBB"/>
    <w:rsid w:val="009E5FCB"/>
    <w:rsid w:val="009E65F0"/>
    <w:rsid w:val="009E67D7"/>
    <w:rsid w:val="009E6A0F"/>
    <w:rsid w:val="009E6A70"/>
    <w:rsid w:val="009E6D5E"/>
    <w:rsid w:val="009E6E34"/>
    <w:rsid w:val="009E6E51"/>
    <w:rsid w:val="009E70B0"/>
    <w:rsid w:val="009F01B8"/>
    <w:rsid w:val="009F027B"/>
    <w:rsid w:val="009F0666"/>
    <w:rsid w:val="009F0857"/>
    <w:rsid w:val="009F0A59"/>
    <w:rsid w:val="009F0B86"/>
    <w:rsid w:val="009F0CBD"/>
    <w:rsid w:val="009F1102"/>
    <w:rsid w:val="009F1955"/>
    <w:rsid w:val="009F1A7C"/>
    <w:rsid w:val="009F213E"/>
    <w:rsid w:val="009F2226"/>
    <w:rsid w:val="009F2298"/>
    <w:rsid w:val="009F2C3D"/>
    <w:rsid w:val="009F2F9B"/>
    <w:rsid w:val="009F3378"/>
    <w:rsid w:val="009F39A0"/>
    <w:rsid w:val="009F4598"/>
    <w:rsid w:val="009F46A9"/>
    <w:rsid w:val="009F4703"/>
    <w:rsid w:val="009F474C"/>
    <w:rsid w:val="009F53C2"/>
    <w:rsid w:val="009F58BE"/>
    <w:rsid w:val="009F6697"/>
    <w:rsid w:val="009F66F9"/>
    <w:rsid w:val="009F6AD3"/>
    <w:rsid w:val="009F751E"/>
    <w:rsid w:val="009F7939"/>
    <w:rsid w:val="00A00FF8"/>
    <w:rsid w:val="00A01186"/>
    <w:rsid w:val="00A011B5"/>
    <w:rsid w:val="00A01695"/>
    <w:rsid w:val="00A018EF"/>
    <w:rsid w:val="00A01BAF"/>
    <w:rsid w:val="00A01C16"/>
    <w:rsid w:val="00A01D6F"/>
    <w:rsid w:val="00A02755"/>
    <w:rsid w:val="00A02AF9"/>
    <w:rsid w:val="00A02B8D"/>
    <w:rsid w:val="00A03445"/>
    <w:rsid w:val="00A03613"/>
    <w:rsid w:val="00A03A89"/>
    <w:rsid w:val="00A03ABE"/>
    <w:rsid w:val="00A03B37"/>
    <w:rsid w:val="00A04197"/>
    <w:rsid w:val="00A04A19"/>
    <w:rsid w:val="00A04ADC"/>
    <w:rsid w:val="00A04B50"/>
    <w:rsid w:val="00A04E77"/>
    <w:rsid w:val="00A05498"/>
    <w:rsid w:val="00A05C67"/>
    <w:rsid w:val="00A05F7A"/>
    <w:rsid w:val="00A0612E"/>
    <w:rsid w:val="00A0669D"/>
    <w:rsid w:val="00A078CE"/>
    <w:rsid w:val="00A100BF"/>
    <w:rsid w:val="00A10402"/>
    <w:rsid w:val="00A1080D"/>
    <w:rsid w:val="00A110A3"/>
    <w:rsid w:val="00A114E9"/>
    <w:rsid w:val="00A116C9"/>
    <w:rsid w:val="00A117FA"/>
    <w:rsid w:val="00A1186F"/>
    <w:rsid w:val="00A11B0F"/>
    <w:rsid w:val="00A1224B"/>
    <w:rsid w:val="00A12855"/>
    <w:rsid w:val="00A12A4F"/>
    <w:rsid w:val="00A13244"/>
    <w:rsid w:val="00A13601"/>
    <w:rsid w:val="00A13850"/>
    <w:rsid w:val="00A13E14"/>
    <w:rsid w:val="00A143A0"/>
    <w:rsid w:val="00A14A92"/>
    <w:rsid w:val="00A14AE1"/>
    <w:rsid w:val="00A150C6"/>
    <w:rsid w:val="00A15500"/>
    <w:rsid w:val="00A15537"/>
    <w:rsid w:val="00A155C3"/>
    <w:rsid w:val="00A15B3F"/>
    <w:rsid w:val="00A15B6F"/>
    <w:rsid w:val="00A15D9F"/>
    <w:rsid w:val="00A15DD2"/>
    <w:rsid w:val="00A1657D"/>
    <w:rsid w:val="00A16633"/>
    <w:rsid w:val="00A16A12"/>
    <w:rsid w:val="00A16AF7"/>
    <w:rsid w:val="00A1708D"/>
    <w:rsid w:val="00A170D7"/>
    <w:rsid w:val="00A17619"/>
    <w:rsid w:val="00A20167"/>
    <w:rsid w:val="00A20323"/>
    <w:rsid w:val="00A2068A"/>
    <w:rsid w:val="00A20A7C"/>
    <w:rsid w:val="00A20E51"/>
    <w:rsid w:val="00A214D6"/>
    <w:rsid w:val="00A21F8F"/>
    <w:rsid w:val="00A220AF"/>
    <w:rsid w:val="00A22464"/>
    <w:rsid w:val="00A23758"/>
    <w:rsid w:val="00A23ADE"/>
    <w:rsid w:val="00A240C0"/>
    <w:rsid w:val="00A242DB"/>
    <w:rsid w:val="00A242FD"/>
    <w:rsid w:val="00A24595"/>
    <w:rsid w:val="00A245FC"/>
    <w:rsid w:val="00A2487D"/>
    <w:rsid w:val="00A24EE1"/>
    <w:rsid w:val="00A255AC"/>
    <w:rsid w:val="00A256BA"/>
    <w:rsid w:val="00A2577E"/>
    <w:rsid w:val="00A2586A"/>
    <w:rsid w:val="00A25C53"/>
    <w:rsid w:val="00A26B5A"/>
    <w:rsid w:val="00A26F4D"/>
    <w:rsid w:val="00A26F5B"/>
    <w:rsid w:val="00A274A8"/>
    <w:rsid w:val="00A2761C"/>
    <w:rsid w:val="00A2776E"/>
    <w:rsid w:val="00A277F9"/>
    <w:rsid w:val="00A279DE"/>
    <w:rsid w:val="00A315B0"/>
    <w:rsid w:val="00A315C0"/>
    <w:rsid w:val="00A31B04"/>
    <w:rsid w:val="00A31C76"/>
    <w:rsid w:val="00A31E63"/>
    <w:rsid w:val="00A32099"/>
    <w:rsid w:val="00A32397"/>
    <w:rsid w:val="00A32C4B"/>
    <w:rsid w:val="00A32CE6"/>
    <w:rsid w:val="00A32E1E"/>
    <w:rsid w:val="00A333A0"/>
    <w:rsid w:val="00A33AE2"/>
    <w:rsid w:val="00A33E77"/>
    <w:rsid w:val="00A343FD"/>
    <w:rsid w:val="00A34A30"/>
    <w:rsid w:val="00A34D6C"/>
    <w:rsid w:val="00A35347"/>
    <w:rsid w:val="00A357AA"/>
    <w:rsid w:val="00A357B8"/>
    <w:rsid w:val="00A35873"/>
    <w:rsid w:val="00A359A1"/>
    <w:rsid w:val="00A35F45"/>
    <w:rsid w:val="00A3646F"/>
    <w:rsid w:val="00A3696E"/>
    <w:rsid w:val="00A36A43"/>
    <w:rsid w:val="00A36F35"/>
    <w:rsid w:val="00A372C3"/>
    <w:rsid w:val="00A37884"/>
    <w:rsid w:val="00A37A75"/>
    <w:rsid w:val="00A37C48"/>
    <w:rsid w:val="00A37E0E"/>
    <w:rsid w:val="00A4045A"/>
    <w:rsid w:val="00A406C7"/>
    <w:rsid w:val="00A4100B"/>
    <w:rsid w:val="00A410AE"/>
    <w:rsid w:val="00A41168"/>
    <w:rsid w:val="00A41396"/>
    <w:rsid w:val="00A41583"/>
    <w:rsid w:val="00A4245F"/>
    <w:rsid w:val="00A4266F"/>
    <w:rsid w:val="00A427AD"/>
    <w:rsid w:val="00A428D9"/>
    <w:rsid w:val="00A42A70"/>
    <w:rsid w:val="00A435BE"/>
    <w:rsid w:val="00A4362B"/>
    <w:rsid w:val="00A4370A"/>
    <w:rsid w:val="00A44092"/>
    <w:rsid w:val="00A4409B"/>
    <w:rsid w:val="00A44468"/>
    <w:rsid w:val="00A4452A"/>
    <w:rsid w:val="00A446F6"/>
    <w:rsid w:val="00A44876"/>
    <w:rsid w:val="00A45420"/>
    <w:rsid w:val="00A458C7"/>
    <w:rsid w:val="00A45C74"/>
    <w:rsid w:val="00A4689F"/>
    <w:rsid w:val="00A46A8D"/>
    <w:rsid w:val="00A46B8B"/>
    <w:rsid w:val="00A46D21"/>
    <w:rsid w:val="00A47892"/>
    <w:rsid w:val="00A47B77"/>
    <w:rsid w:val="00A50697"/>
    <w:rsid w:val="00A508B8"/>
    <w:rsid w:val="00A50909"/>
    <w:rsid w:val="00A50F29"/>
    <w:rsid w:val="00A5136B"/>
    <w:rsid w:val="00A5155A"/>
    <w:rsid w:val="00A516DA"/>
    <w:rsid w:val="00A52323"/>
    <w:rsid w:val="00A52447"/>
    <w:rsid w:val="00A5274A"/>
    <w:rsid w:val="00A52B5C"/>
    <w:rsid w:val="00A530F5"/>
    <w:rsid w:val="00A5356B"/>
    <w:rsid w:val="00A535B3"/>
    <w:rsid w:val="00A535F9"/>
    <w:rsid w:val="00A5378B"/>
    <w:rsid w:val="00A53BA4"/>
    <w:rsid w:val="00A53E83"/>
    <w:rsid w:val="00A54E3B"/>
    <w:rsid w:val="00A5560B"/>
    <w:rsid w:val="00A557DB"/>
    <w:rsid w:val="00A5614E"/>
    <w:rsid w:val="00A56B3F"/>
    <w:rsid w:val="00A57061"/>
    <w:rsid w:val="00A57107"/>
    <w:rsid w:val="00A5726B"/>
    <w:rsid w:val="00A57466"/>
    <w:rsid w:val="00A57B06"/>
    <w:rsid w:val="00A60795"/>
    <w:rsid w:val="00A609F5"/>
    <w:rsid w:val="00A61186"/>
    <w:rsid w:val="00A612C9"/>
    <w:rsid w:val="00A6164C"/>
    <w:rsid w:val="00A61706"/>
    <w:rsid w:val="00A61763"/>
    <w:rsid w:val="00A61A2D"/>
    <w:rsid w:val="00A61D29"/>
    <w:rsid w:val="00A61DF9"/>
    <w:rsid w:val="00A62079"/>
    <w:rsid w:val="00A624E0"/>
    <w:rsid w:val="00A62529"/>
    <w:rsid w:val="00A62817"/>
    <w:rsid w:val="00A6281B"/>
    <w:rsid w:val="00A628E3"/>
    <w:rsid w:val="00A631C5"/>
    <w:rsid w:val="00A63222"/>
    <w:rsid w:val="00A6360C"/>
    <w:rsid w:val="00A648D7"/>
    <w:rsid w:val="00A64CC7"/>
    <w:rsid w:val="00A651B2"/>
    <w:rsid w:val="00A65992"/>
    <w:rsid w:val="00A65CD0"/>
    <w:rsid w:val="00A65F00"/>
    <w:rsid w:val="00A66438"/>
    <w:rsid w:val="00A6652F"/>
    <w:rsid w:val="00A666B9"/>
    <w:rsid w:val="00A66BC2"/>
    <w:rsid w:val="00A67135"/>
    <w:rsid w:val="00A673AD"/>
    <w:rsid w:val="00A67422"/>
    <w:rsid w:val="00A67758"/>
    <w:rsid w:val="00A679B5"/>
    <w:rsid w:val="00A67DAA"/>
    <w:rsid w:val="00A703E6"/>
    <w:rsid w:val="00A705DB"/>
    <w:rsid w:val="00A7074D"/>
    <w:rsid w:val="00A70C27"/>
    <w:rsid w:val="00A70F25"/>
    <w:rsid w:val="00A71000"/>
    <w:rsid w:val="00A7123A"/>
    <w:rsid w:val="00A715E9"/>
    <w:rsid w:val="00A717DA"/>
    <w:rsid w:val="00A71B57"/>
    <w:rsid w:val="00A71CEB"/>
    <w:rsid w:val="00A71FC6"/>
    <w:rsid w:val="00A71FEF"/>
    <w:rsid w:val="00A721E3"/>
    <w:rsid w:val="00A728D3"/>
    <w:rsid w:val="00A72AED"/>
    <w:rsid w:val="00A72C7B"/>
    <w:rsid w:val="00A7307E"/>
    <w:rsid w:val="00A73185"/>
    <w:rsid w:val="00A731E3"/>
    <w:rsid w:val="00A73789"/>
    <w:rsid w:val="00A7392F"/>
    <w:rsid w:val="00A739D9"/>
    <w:rsid w:val="00A73E99"/>
    <w:rsid w:val="00A73FFA"/>
    <w:rsid w:val="00A74105"/>
    <w:rsid w:val="00A742B4"/>
    <w:rsid w:val="00A742FB"/>
    <w:rsid w:val="00A744FA"/>
    <w:rsid w:val="00A748E4"/>
    <w:rsid w:val="00A74C7A"/>
    <w:rsid w:val="00A74DE2"/>
    <w:rsid w:val="00A75252"/>
    <w:rsid w:val="00A75FF9"/>
    <w:rsid w:val="00A76448"/>
    <w:rsid w:val="00A766D0"/>
    <w:rsid w:val="00A767FC"/>
    <w:rsid w:val="00A76ADA"/>
    <w:rsid w:val="00A76DB2"/>
    <w:rsid w:val="00A76E67"/>
    <w:rsid w:val="00A76FCA"/>
    <w:rsid w:val="00A7706A"/>
    <w:rsid w:val="00A775A2"/>
    <w:rsid w:val="00A777A3"/>
    <w:rsid w:val="00A77AB2"/>
    <w:rsid w:val="00A77C83"/>
    <w:rsid w:val="00A77D4A"/>
    <w:rsid w:val="00A77F58"/>
    <w:rsid w:val="00A80BDE"/>
    <w:rsid w:val="00A80C8D"/>
    <w:rsid w:val="00A80F7B"/>
    <w:rsid w:val="00A81660"/>
    <w:rsid w:val="00A81EFB"/>
    <w:rsid w:val="00A82081"/>
    <w:rsid w:val="00A8219C"/>
    <w:rsid w:val="00A825EE"/>
    <w:rsid w:val="00A82857"/>
    <w:rsid w:val="00A82D06"/>
    <w:rsid w:val="00A82DFB"/>
    <w:rsid w:val="00A82EA5"/>
    <w:rsid w:val="00A83412"/>
    <w:rsid w:val="00A8376A"/>
    <w:rsid w:val="00A83A23"/>
    <w:rsid w:val="00A83E17"/>
    <w:rsid w:val="00A83FCA"/>
    <w:rsid w:val="00A8402B"/>
    <w:rsid w:val="00A8441E"/>
    <w:rsid w:val="00A84947"/>
    <w:rsid w:val="00A84ACE"/>
    <w:rsid w:val="00A84C82"/>
    <w:rsid w:val="00A84FCD"/>
    <w:rsid w:val="00A85130"/>
    <w:rsid w:val="00A85366"/>
    <w:rsid w:val="00A85509"/>
    <w:rsid w:val="00A85860"/>
    <w:rsid w:val="00A85B12"/>
    <w:rsid w:val="00A85B83"/>
    <w:rsid w:val="00A869C0"/>
    <w:rsid w:val="00A86B41"/>
    <w:rsid w:val="00A86FAC"/>
    <w:rsid w:val="00A870F0"/>
    <w:rsid w:val="00A87EEF"/>
    <w:rsid w:val="00A87F06"/>
    <w:rsid w:val="00A9008F"/>
    <w:rsid w:val="00A90379"/>
    <w:rsid w:val="00A904C8"/>
    <w:rsid w:val="00A90850"/>
    <w:rsid w:val="00A908F7"/>
    <w:rsid w:val="00A911A1"/>
    <w:rsid w:val="00A915D3"/>
    <w:rsid w:val="00A91EC3"/>
    <w:rsid w:val="00A91FC2"/>
    <w:rsid w:val="00A9246C"/>
    <w:rsid w:val="00A92B68"/>
    <w:rsid w:val="00A9374D"/>
    <w:rsid w:val="00A93764"/>
    <w:rsid w:val="00A937AC"/>
    <w:rsid w:val="00A93B13"/>
    <w:rsid w:val="00A93DBC"/>
    <w:rsid w:val="00A942AD"/>
    <w:rsid w:val="00A94688"/>
    <w:rsid w:val="00A94711"/>
    <w:rsid w:val="00A94A6C"/>
    <w:rsid w:val="00A94AD2"/>
    <w:rsid w:val="00A94B00"/>
    <w:rsid w:val="00A953E4"/>
    <w:rsid w:val="00A95852"/>
    <w:rsid w:val="00A959B6"/>
    <w:rsid w:val="00A95B0E"/>
    <w:rsid w:val="00A9667D"/>
    <w:rsid w:val="00A9685B"/>
    <w:rsid w:val="00A9693A"/>
    <w:rsid w:val="00A96B4F"/>
    <w:rsid w:val="00A970BB"/>
    <w:rsid w:val="00A9724C"/>
    <w:rsid w:val="00AA05EE"/>
    <w:rsid w:val="00AA0ECB"/>
    <w:rsid w:val="00AA0F75"/>
    <w:rsid w:val="00AA1298"/>
    <w:rsid w:val="00AA12CB"/>
    <w:rsid w:val="00AA14C8"/>
    <w:rsid w:val="00AA1555"/>
    <w:rsid w:val="00AA15BA"/>
    <w:rsid w:val="00AA16FC"/>
    <w:rsid w:val="00AA18D4"/>
    <w:rsid w:val="00AA1BEC"/>
    <w:rsid w:val="00AA1C52"/>
    <w:rsid w:val="00AA1F21"/>
    <w:rsid w:val="00AA22CD"/>
    <w:rsid w:val="00AA2DFF"/>
    <w:rsid w:val="00AA2FA2"/>
    <w:rsid w:val="00AA307B"/>
    <w:rsid w:val="00AA3516"/>
    <w:rsid w:val="00AA35BA"/>
    <w:rsid w:val="00AA3649"/>
    <w:rsid w:val="00AA3811"/>
    <w:rsid w:val="00AA3842"/>
    <w:rsid w:val="00AA38AF"/>
    <w:rsid w:val="00AA38FE"/>
    <w:rsid w:val="00AA45FB"/>
    <w:rsid w:val="00AA4714"/>
    <w:rsid w:val="00AA4CC4"/>
    <w:rsid w:val="00AA5328"/>
    <w:rsid w:val="00AA6139"/>
    <w:rsid w:val="00AA64CF"/>
    <w:rsid w:val="00AA66C4"/>
    <w:rsid w:val="00AA6932"/>
    <w:rsid w:val="00AA6BBF"/>
    <w:rsid w:val="00AA6DA7"/>
    <w:rsid w:val="00AA6E9F"/>
    <w:rsid w:val="00AA7197"/>
    <w:rsid w:val="00AA72FE"/>
    <w:rsid w:val="00AA78B5"/>
    <w:rsid w:val="00AA7B7A"/>
    <w:rsid w:val="00AA7C03"/>
    <w:rsid w:val="00AA7CD2"/>
    <w:rsid w:val="00AA7EC1"/>
    <w:rsid w:val="00AB01E8"/>
    <w:rsid w:val="00AB03F4"/>
    <w:rsid w:val="00AB056E"/>
    <w:rsid w:val="00AB0CA4"/>
    <w:rsid w:val="00AB0F92"/>
    <w:rsid w:val="00AB12BC"/>
    <w:rsid w:val="00AB1773"/>
    <w:rsid w:val="00AB1D36"/>
    <w:rsid w:val="00AB1EAA"/>
    <w:rsid w:val="00AB2369"/>
    <w:rsid w:val="00AB23A0"/>
    <w:rsid w:val="00AB2B0E"/>
    <w:rsid w:val="00AB2BC8"/>
    <w:rsid w:val="00AB2BF5"/>
    <w:rsid w:val="00AB364B"/>
    <w:rsid w:val="00AB3732"/>
    <w:rsid w:val="00AB3B0E"/>
    <w:rsid w:val="00AB3B53"/>
    <w:rsid w:val="00AB47A7"/>
    <w:rsid w:val="00AB4F1E"/>
    <w:rsid w:val="00AB5046"/>
    <w:rsid w:val="00AB5386"/>
    <w:rsid w:val="00AB58D0"/>
    <w:rsid w:val="00AB5A61"/>
    <w:rsid w:val="00AB5C37"/>
    <w:rsid w:val="00AB5F14"/>
    <w:rsid w:val="00AB602D"/>
    <w:rsid w:val="00AB61E3"/>
    <w:rsid w:val="00AB6484"/>
    <w:rsid w:val="00AB6B98"/>
    <w:rsid w:val="00AB70E8"/>
    <w:rsid w:val="00AB7655"/>
    <w:rsid w:val="00AB785F"/>
    <w:rsid w:val="00AB7D3E"/>
    <w:rsid w:val="00AC0BC2"/>
    <w:rsid w:val="00AC13EA"/>
    <w:rsid w:val="00AC1715"/>
    <w:rsid w:val="00AC1A67"/>
    <w:rsid w:val="00AC1B56"/>
    <w:rsid w:val="00AC1B78"/>
    <w:rsid w:val="00AC21F9"/>
    <w:rsid w:val="00AC2905"/>
    <w:rsid w:val="00AC2960"/>
    <w:rsid w:val="00AC330A"/>
    <w:rsid w:val="00AC3318"/>
    <w:rsid w:val="00AC33E4"/>
    <w:rsid w:val="00AC36AE"/>
    <w:rsid w:val="00AC3793"/>
    <w:rsid w:val="00AC3E53"/>
    <w:rsid w:val="00AC41D5"/>
    <w:rsid w:val="00AC42A1"/>
    <w:rsid w:val="00AC4330"/>
    <w:rsid w:val="00AC4875"/>
    <w:rsid w:val="00AC48F5"/>
    <w:rsid w:val="00AC4CBB"/>
    <w:rsid w:val="00AC50AB"/>
    <w:rsid w:val="00AC50C1"/>
    <w:rsid w:val="00AC562F"/>
    <w:rsid w:val="00AC56EC"/>
    <w:rsid w:val="00AC5912"/>
    <w:rsid w:val="00AC59B5"/>
    <w:rsid w:val="00AC59CE"/>
    <w:rsid w:val="00AC5A7A"/>
    <w:rsid w:val="00AC5D4E"/>
    <w:rsid w:val="00AC6329"/>
    <w:rsid w:val="00AC63EA"/>
    <w:rsid w:val="00AC65F0"/>
    <w:rsid w:val="00AC6CAD"/>
    <w:rsid w:val="00AC6E56"/>
    <w:rsid w:val="00AC7522"/>
    <w:rsid w:val="00AC7605"/>
    <w:rsid w:val="00AC7CED"/>
    <w:rsid w:val="00AC7E8A"/>
    <w:rsid w:val="00AD03AB"/>
    <w:rsid w:val="00AD05E2"/>
    <w:rsid w:val="00AD09AF"/>
    <w:rsid w:val="00AD0E90"/>
    <w:rsid w:val="00AD0EFD"/>
    <w:rsid w:val="00AD1371"/>
    <w:rsid w:val="00AD13F3"/>
    <w:rsid w:val="00AD143D"/>
    <w:rsid w:val="00AD14E7"/>
    <w:rsid w:val="00AD18AE"/>
    <w:rsid w:val="00AD2127"/>
    <w:rsid w:val="00AD22B1"/>
    <w:rsid w:val="00AD22C6"/>
    <w:rsid w:val="00AD234A"/>
    <w:rsid w:val="00AD273B"/>
    <w:rsid w:val="00AD276E"/>
    <w:rsid w:val="00AD2B7F"/>
    <w:rsid w:val="00AD38DF"/>
    <w:rsid w:val="00AD3916"/>
    <w:rsid w:val="00AD4217"/>
    <w:rsid w:val="00AD4431"/>
    <w:rsid w:val="00AD44C8"/>
    <w:rsid w:val="00AD45AF"/>
    <w:rsid w:val="00AD5093"/>
    <w:rsid w:val="00AD6494"/>
    <w:rsid w:val="00AD6CD4"/>
    <w:rsid w:val="00AD6D33"/>
    <w:rsid w:val="00AD7323"/>
    <w:rsid w:val="00AD77C2"/>
    <w:rsid w:val="00AD7D36"/>
    <w:rsid w:val="00AD7DF7"/>
    <w:rsid w:val="00AE044F"/>
    <w:rsid w:val="00AE066F"/>
    <w:rsid w:val="00AE0A53"/>
    <w:rsid w:val="00AE0BF0"/>
    <w:rsid w:val="00AE0E90"/>
    <w:rsid w:val="00AE0F6F"/>
    <w:rsid w:val="00AE13BA"/>
    <w:rsid w:val="00AE142E"/>
    <w:rsid w:val="00AE14A8"/>
    <w:rsid w:val="00AE16D4"/>
    <w:rsid w:val="00AE1704"/>
    <w:rsid w:val="00AE1708"/>
    <w:rsid w:val="00AE177D"/>
    <w:rsid w:val="00AE1F7E"/>
    <w:rsid w:val="00AE2052"/>
    <w:rsid w:val="00AE3652"/>
    <w:rsid w:val="00AE39F4"/>
    <w:rsid w:val="00AE3EE1"/>
    <w:rsid w:val="00AE414D"/>
    <w:rsid w:val="00AE426B"/>
    <w:rsid w:val="00AE42D4"/>
    <w:rsid w:val="00AE449F"/>
    <w:rsid w:val="00AE454F"/>
    <w:rsid w:val="00AE497E"/>
    <w:rsid w:val="00AE4B83"/>
    <w:rsid w:val="00AE4EC8"/>
    <w:rsid w:val="00AE4F01"/>
    <w:rsid w:val="00AE505D"/>
    <w:rsid w:val="00AE53FE"/>
    <w:rsid w:val="00AE5F66"/>
    <w:rsid w:val="00AE6573"/>
    <w:rsid w:val="00AE65FD"/>
    <w:rsid w:val="00AE69EC"/>
    <w:rsid w:val="00AE6C1A"/>
    <w:rsid w:val="00AE6C66"/>
    <w:rsid w:val="00AE707C"/>
    <w:rsid w:val="00AF002C"/>
    <w:rsid w:val="00AF048E"/>
    <w:rsid w:val="00AF0531"/>
    <w:rsid w:val="00AF08B7"/>
    <w:rsid w:val="00AF1A4F"/>
    <w:rsid w:val="00AF1B6B"/>
    <w:rsid w:val="00AF1BDF"/>
    <w:rsid w:val="00AF1C83"/>
    <w:rsid w:val="00AF2150"/>
    <w:rsid w:val="00AF28E8"/>
    <w:rsid w:val="00AF3192"/>
    <w:rsid w:val="00AF3195"/>
    <w:rsid w:val="00AF333E"/>
    <w:rsid w:val="00AF3406"/>
    <w:rsid w:val="00AF39D5"/>
    <w:rsid w:val="00AF40AC"/>
    <w:rsid w:val="00AF4267"/>
    <w:rsid w:val="00AF44B6"/>
    <w:rsid w:val="00AF4638"/>
    <w:rsid w:val="00AF4687"/>
    <w:rsid w:val="00AF4E21"/>
    <w:rsid w:val="00AF51E8"/>
    <w:rsid w:val="00AF526C"/>
    <w:rsid w:val="00AF572E"/>
    <w:rsid w:val="00AF598E"/>
    <w:rsid w:val="00AF599F"/>
    <w:rsid w:val="00AF5ADF"/>
    <w:rsid w:val="00AF5BBF"/>
    <w:rsid w:val="00AF5C8C"/>
    <w:rsid w:val="00AF5D25"/>
    <w:rsid w:val="00AF5D8C"/>
    <w:rsid w:val="00AF5E9D"/>
    <w:rsid w:val="00AF5EE3"/>
    <w:rsid w:val="00AF611B"/>
    <w:rsid w:val="00AF66EB"/>
    <w:rsid w:val="00AF6D62"/>
    <w:rsid w:val="00AF7A14"/>
    <w:rsid w:val="00AF7D5D"/>
    <w:rsid w:val="00AF7F97"/>
    <w:rsid w:val="00B00126"/>
    <w:rsid w:val="00B00C89"/>
    <w:rsid w:val="00B00E49"/>
    <w:rsid w:val="00B010E5"/>
    <w:rsid w:val="00B014F1"/>
    <w:rsid w:val="00B01544"/>
    <w:rsid w:val="00B0195F"/>
    <w:rsid w:val="00B022E1"/>
    <w:rsid w:val="00B026DA"/>
    <w:rsid w:val="00B02CAF"/>
    <w:rsid w:val="00B02F25"/>
    <w:rsid w:val="00B030B8"/>
    <w:rsid w:val="00B036AC"/>
    <w:rsid w:val="00B03B8D"/>
    <w:rsid w:val="00B03E4A"/>
    <w:rsid w:val="00B0481D"/>
    <w:rsid w:val="00B04B16"/>
    <w:rsid w:val="00B04F70"/>
    <w:rsid w:val="00B05195"/>
    <w:rsid w:val="00B05D50"/>
    <w:rsid w:val="00B05DA7"/>
    <w:rsid w:val="00B06207"/>
    <w:rsid w:val="00B067CD"/>
    <w:rsid w:val="00B068A6"/>
    <w:rsid w:val="00B0696A"/>
    <w:rsid w:val="00B069FF"/>
    <w:rsid w:val="00B06A0B"/>
    <w:rsid w:val="00B06A87"/>
    <w:rsid w:val="00B06DB6"/>
    <w:rsid w:val="00B07190"/>
    <w:rsid w:val="00B1010C"/>
    <w:rsid w:val="00B1093E"/>
    <w:rsid w:val="00B11024"/>
    <w:rsid w:val="00B1135C"/>
    <w:rsid w:val="00B11593"/>
    <w:rsid w:val="00B11751"/>
    <w:rsid w:val="00B11859"/>
    <w:rsid w:val="00B11A3D"/>
    <w:rsid w:val="00B11AF6"/>
    <w:rsid w:val="00B12383"/>
    <w:rsid w:val="00B12CDE"/>
    <w:rsid w:val="00B12E55"/>
    <w:rsid w:val="00B133AA"/>
    <w:rsid w:val="00B13655"/>
    <w:rsid w:val="00B1377D"/>
    <w:rsid w:val="00B13815"/>
    <w:rsid w:val="00B13981"/>
    <w:rsid w:val="00B13C8C"/>
    <w:rsid w:val="00B13CD3"/>
    <w:rsid w:val="00B13F5F"/>
    <w:rsid w:val="00B147A3"/>
    <w:rsid w:val="00B14982"/>
    <w:rsid w:val="00B14D36"/>
    <w:rsid w:val="00B14D6B"/>
    <w:rsid w:val="00B14E3A"/>
    <w:rsid w:val="00B14E51"/>
    <w:rsid w:val="00B14F9A"/>
    <w:rsid w:val="00B15358"/>
    <w:rsid w:val="00B15896"/>
    <w:rsid w:val="00B158B6"/>
    <w:rsid w:val="00B15ED9"/>
    <w:rsid w:val="00B16F0B"/>
    <w:rsid w:val="00B176E5"/>
    <w:rsid w:val="00B17706"/>
    <w:rsid w:val="00B17927"/>
    <w:rsid w:val="00B2047A"/>
    <w:rsid w:val="00B205DF"/>
    <w:rsid w:val="00B20DBE"/>
    <w:rsid w:val="00B212CB"/>
    <w:rsid w:val="00B21319"/>
    <w:rsid w:val="00B21600"/>
    <w:rsid w:val="00B219CE"/>
    <w:rsid w:val="00B21A49"/>
    <w:rsid w:val="00B21C08"/>
    <w:rsid w:val="00B21C34"/>
    <w:rsid w:val="00B21C54"/>
    <w:rsid w:val="00B22072"/>
    <w:rsid w:val="00B22255"/>
    <w:rsid w:val="00B22630"/>
    <w:rsid w:val="00B22A9F"/>
    <w:rsid w:val="00B23470"/>
    <w:rsid w:val="00B2354C"/>
    <w:rsid w:val="00B2385E"/>
    <w:rsid w:val="00B23863"/>
    <w:rsid w:val="00B23DD7"/>
    <w:rsid w:val="00B2417F"/>
    <w:rsid w:val="00B245AD"/>
    <w:rsid w:val="00B24ABF"/>
    <w:rsid w:val="00B24B97"/>
    <w:rsid w:val="00B25D21"/>
    <w:rsid w:val="00B25D5F"/>
    <w:rsid w:val="00B260D3"/>
    <w:rsid w:val="00B260E7"/>
    <w:rsid w:val="00B265A0"/>
    <w:rsid w:val="00B2681A"/>
    <w:rsid w:val="00B26B5C"/>
    <w:rsid w:val="00B26C47"/>
    <w:rsid w:val="00B26D03"/>
    <w:rsid w:val="00B27067"/>
    <w:rsid w:val="00B270B1"/>
    <w:rsid w:val="00B2725A"/>
    <w:rsid w:val="00B30252"/>
    <w:rsid w:val="00B30DA6"/>
    <w:rsid w:val="00B30F56"/>
    <w:rsid w:val="00B313BA"/>
    <w:rsid w:val="00B315B7"/>
    <w:rsid w:val="00B31690"/>
    <w:rsid w:val="00B31AC6"/>
    <w:rsid w:val="00B31B5B"/>
    <w:rsid w:val="00B327B7"/>
    <w:rsid w:val="00B32B08"/>
    <w:rsid w:val="00B32B47"/>
    <w:rsid w:val="00B32EBB"/>
    <w:rsid w:val="00B3386C"/>
    <w:rsid w:val="00B3391F"/>
    <w:rsid w:val="00B33B83"/>
    <w:rsid w:val="00B34527"/>
    <w:rsid w:val="00B34867"/>
    <w:rsid w:val="00B34A4A"/>
    <w:rsid w:val="00B34F67"/>
    <w:rsid w:val="00B3549C"/>
    <w:rsid w:val="00B35929"/>
    <w:rsid w:val="00B3592E"/>
    <w:rsid w:val="00B35A3B"/>
    <w:rsid w:val="00B35AC4"/>
    <w:rsid w:val="00B35BE2"/>
    <w:rsid w:val="00B370CD"/>
    <w:rsid w:val="00B37D32"/>
    <w:rsid w:val="00B37F08"/>
    <w:rsid w:val="00B403DE"/>
    <w:rsid w:val="00B40D3C"/>
    <w:rsid w:val="00B41132"/>
    <w:rsid w:val="00B41785"/>
    <w:rsid w:val="00B417DD"/>
    <w:rsid w:val="00B420F1"/>
    <w:rsid w:val="00B42F26"/>
    <w:rsid w:val="00B42F28"/>
    <w:rsid w:val="00B43090"/>
    <w:rsid w:val="00B4316A"/>
    <w:rsid w:val="00B43CFD"/>
    <w:rsid w:val="00B44010"/>
    <w:rsid w:val="00B44372"/>
    <w:rsid w:val="00B443B1"/>
    <w:rsid w:val="00B44937"/>
    <w:rsid w:val="00B44BF0"/>
    <w:rsid w:val="00B454DC"/>
    <w:rsid w:val="00B45D45"/>
    <w:rsid w:val="00B4627E"/>
    <w:rsid w:val="00B47556"/>
    <w:rsid w:val="00B47A22"/>
    <w:rsid w:val="00B501B8"/>
    <w:rsid w:val="00B501E1"/>
    <w:rsid w:val="00B50301"/>
    <w:rsid w:val="00B5034F"/>
    <w:rsid w:val="00B50752"/>
    <w:rsid w:val="00B507EA"/>
    <w:rsid w:val="00B50AAA"/>
    <w:rsid w:val="00B50AE2"/>
    <w:rsid w:val="00B50FCB"/>
    <w:rsid w:val="00B510D9"/>
    <w:rsid w:val="00B5148C"/>
    <w:rsid w:val="00B5170B"/>
    <w:rsid w:val="00B51C9B"/>
    <w:rsid w:val="00B51D95"/>
    <w:rsid w:val="00B51E6C"/>
    <w:rsid w:val="00B52665"/>
    <w:rsid w:val="00B52FAD"/>
    <w:rsid w:val="00B53A68"/>
    <w:rsid w:val="00B53D63"/>
    <w:rsid w:val="00B53F29"/>
    <w:rsid w:val="00B543EB"/>
    <w:rsid w:val="00B54470"/>
    <w:rsid w:val="00B54914"/>
    <w:rsid w:val="00B557E0"/>
    <w:rsid w:val="00B558EA"/>
    <w:rsid w:val="00B55968"/>
    <w:rsid w:val="00B55C92"/>
    <w:rsid w:val="00B55DE0"/>
    <w:rsid w:val="00B55E4D"/>
    <w:rsid w:val="00B561A8"/>
    <w:rsid w:val="00B567F6"/>
    <w:rsid w:val="00B56AD9"/>
    <w:rsid w:val="00B57A98"/>
    <w:rsid w:val="00B57ABE"/>
    <w:rsid w:val="00B57ADA"/>
    <w:rsid w:val="00B57D9A"/>
    <w:rsid w:val="00B6029C"/>
    <w:rsid w:val="00B60C60"/>
    <w:rsid w:val="00B60C81"/>
    <w:rsid w:val="00B60CAA"/>
    <w:rsid w:val="00B611D0"/>
    <w:rsid w:val="00B6122B"/>
    <w:rsid w:val="00B61FBB"/>
    <w:rsid w:val="00B6216C"/>
    <w:rsid w:val="00B62566"/>
    <w:rsid w:val="00B6290A"/>
    <w:rsid w:val="00B62ABD"/>
    <w:rsid w:val="00B62CE0"/>
    <w:rsid w:val="00B630C4"/>
    <w:rsid w:val="00B632FD"/>
    <w:rsid w:val="00B63A72"/>
    <w:rsid w:val="00B63EB8"/>
    <w:rsid w:val="00B64185"/>
    <w:rsid w:val="00B646BA"/>
    <w:rsid w:val="00B647B8"/>
    <w:rsid w:val="00B6487F"/>
    <w:rsid w:val="00B64A30"/>
    <w:rsid w:val="00B64DE5"/>
    <w:rsid w:val="00B651D3"/>
    <w:rsid w:val="00B652E7"/>
    <w:rsid w:val="00B655F9"/>
    <w:rsid w:val="00B656C2"/>
    <w:rsid w:val="00B65AFF"/>
    <w:rsid w:val="00B66123"/>
    <w:rsid w:val="00B663A5"/>
    <w:rsid w:val="00B66437"/>
    <w:rsid w:val="00B66726"/>
    <w:rsid w:val="00B669E4"/>
    <w:rsid w:val="00B6775C"/>
    <w:rsid w:val="00B67AD1"/>
    <w:rsid w:val="00B67B15"/>
    <w:rsid w:val="00B67FCD"/>
    <w:rsid w:val="00B702A6"/>
    <w:rsid w:val="00B70A45"/>
    <w:rsid w:val="00B70AD5"/>
    <w:rsid w:val="00B70EB2"/>
    <w:rsid w:val="00B70EED"/>
    <w:rsid w:val="00B70F75"/>
    <w:rsid w:val="00B7119C"/>
    <w:rsid w:val="00B714EB"/>
    <w:rsid w:val="00B71B0C"/>
    <w:rsid w:val="00B71E87"/>
    <w:rsid w:val="00B7233C"/>
    <w:rsid w:val="00B723A2"/>
    <w:rsid w:val="00B72EBA"/>
    <w:rsid w:val="00B72F13"/>
    <w:rsid w:val="00B73504"/>
    <w:rsid w:val="00B743D4"/>
    <w:rsid w:val="00B7494D"/>
    <w:rsid w:val="00B74CE6"/>
    <w:rsid w:val="00B7532C"/>
    <w:rsid w:val="00B75475"/>
    <w:rsid w:val="00B75919"/>
    <w:rsid w:val="00B759E2"/>
    <w:rsid w:val="00B75EE3"/>
    <w:rsid w:val="00B763ED"/>
    <w:rsid w:val="00B76B00"/>
    <w:rsid w:val="00B76BEC"/>
    <w:rsid w:val="00B76FD6"/>
    <w:rsid w:val="00B7723A"/>
    <w:rsid w:val="00B772DF"/>
    <w:rsid w:val="00B77466"/>
    <w:rsid w:val="00B77920"/>
    <w:rsid w:val="00B80184"/>
    <w:rsid w:val="00B8045A"/>
    <w:rsid w:val="00B81338"/>
    <w:rsid w:val="00B8167E"/>
    <w:rsid w:val="00B81BE2"/>
    <w:rsid w:val="00B81C34"/>
    <w:rsid w:val="00B81E46"/>
    <w:rsid w:val="00B82A60"/>
    <w:rsid w:val="00B82E32"/>
    <w:rsid w:val="00B83B7F"/>
    <w:rsid w:val="00B83D67"/>
    <w:rsid w:val="00B83F99"/>
    <w:rsid w:val="00B84276"/>
    <w:rsid w:val="00B84E1B"/>
    <w:rsid w:val="00B84ED8"/>
    <w:rsid w:val="00B852A2"/>
    <w:rsid w:val="00B85565"/>
    <w:rsid w:val="00B85E8E"/>
    <w:rsid w:val="00B860F2"/>
    <w:rsid w:val="00B861CE"/>
    <w:rsid w:val="00B86813"/>
    <w:rsid w:val="00B86BC6"/>
    <w:rsid w:val="00B86CB3"/>
    <w:rsid w:val="00B87212"/>
    <w:rsid w:val="00B873C1"/>
    <w:rsid w:val="00B87830"/>
    <w:rsid w:val="00B8786D"/>
    <w:rsid w:val="00B90486"/>
    <w:rsid w:val="00B906AC"/>
    <w:rsid w:val="00B908B5"/>
    <w:rsid w:val="00B90C4C"/>
    <w:rsid w:val="00B90F4B"/>
    <w:rsid w:val="00B9118A"/>
    <w:rsid w:val="00B912BB"/>
    <w:rsid w:val="00B914BD"/>
    <w:rsid w:val="00B917A2"/>
    <w:rsid w:val="00B919FB"/>
    <w:rsid w:val="00B91DA2"/>
    <w:rsid w:val="00B92B3D"/>
    <w:rsid w:val="00B92E3C"/>
    <w:rsid w:val="00B930AB"/>
    <w:rsid w:val="00B93C3B"/>
    <w:rsid w:val="00B9405C"/>
    <w:rsid w:val="00B94A52"/>
    <w:rsid w:val="00B94EC1"/>
    <w:rsid w:val="00B9504C"/>
    <w:rsid w:val="00B95119"/>
    <w:rsid w:val="00B95EA7"/>
    <w:rsid w:val="00B960DA"/>
    <w:rsid w:val="00B961BC"/>
    <w:rsid w:val="00B96236"/>
    <w:rsid w:val="00B96375"/>
    <w:rsid w:val="00B96391"/>
    <w:rsid w:val="00B96BBC"/>
    <w:rsid w:val="00B96C66"/>
    <w:rsid w:val="00B96E34"/>
    <w:rsid w:val="00B97086"/>
    <w:rsid w:val="00B973BA"/>
    <w:rsid w:val="00B97981"/>
    <w:rsid w:val="00B97A5E"/>
    <w:rsid w:val="00B97FA2"/>
    <w:rsid w:val="00BA00BB"/>
    <w:rsid w:val="00BA0412"/>
    <w:rsid w:val="00BA0509"/>
    <w:rsid w:val="00BA0C8E"/>
    <w:rsid w:val="00BA0E4C"/>
    <w:rsid w:val="00BA171A"/>
    <w:rsid w:val="00BA1C78"/>
    <w:rsid w:val="00BA20B9"/>
    <w:rsid w:val="00BA217A"/>
    <w:rsid w:val="00BA28A1"/>
    <w:rsid w:val="00BA2923"/>
    <w:rsid w:val="00BA2B95"/>
    <w:rsid w:val="00BA2BDE"/>
    <w:rsid w:val="00BA3409"/>
    <w:rsid w:val="00BA3501"/>
    <w:rsid w:val="00BA371F"/>
    <w:rsid w:val="00BA4280"/>
    <w:rsid w:val="00BA4460"/>
    <w:rsid w:val="00BA464D"/>
    <w:rsid w:val="00BA4BEE"/>
    <w:rsid w:val="00BA4D23"/>
    <w:rsid w:val="00BA4FA2"/>
    <w:rsid w:val="00BA50DB"/>
    <w:rsid w:val="00BA5338"/>
    <w:rsid w:val="00BA58D8"/>
    <w:rsid w:val="00BA60A7"/>
    <w:rsid w:val="00BA63ED"/>
    <w:rsid w:val="00BA668F"/>
    <w:rsid w:val="00BA66A3"/>
    <w:rsid w:val="00BA678C"/>
    <w:rsid w:val="00BA6A94"/>
    <w:rsid w:val="00BA6AF3"/>
    <w:rsid w:val="00BA6B5A"/>
    <w:rsid w:val="00BA7337"/>
    <w:rsid w:val="00BA77BE"/>
    <w:rsid w:val="00BA7B4D"/>
    <w:rsid w:val="00BA7CD2"/>
    <w:rsid w:val="00BA7E84"/>
    <w:rsid w:val="00BA7FA1"/>
    <w:rsid w:val="00BA7FB1"/>
    <w:rsid w:val="00BB0208"/>
    <w:rsid w:val="00BB0A23"/>
    <w:rsid w:val="00BB1275"/>
    <w:rsid w:val="00BB164F"/>
    <w:rsid w:val="00BB17E4"/>
    <w:rsid w:val="00BB1999"/>
    <w:rsid w:val="00BB1AD9"/>
    <w:rsid w:val="00BB1FDF"/>
    <w:rsid w:val="00BB204A"/>
    <w:rsid w:val="00BB20EB"/>
    <w:rsid w:val="00BB2104"/>
    <w:rsid w:val="00BB2156"/>
    <w:rsid w:val="00BB2455"/>
    <w:rsid w:val="00BB2503"/>
    <w:rsid w:val="00BB2A71"/>
    <w:rsid w:val="00BB2B06"/>
    <w:rsid w:val="00BB2F91"/>
    <w:rsid w:val="00BB2FE0"/>
    <w:rsid w:val="00BB31CC"/>
    <w:rsid w:val="00BB36ED"/>
    <w:rsid w:val="00BB38A3"/>
    <w:rsid w:val="00BB3C19"/>
    <w:rsid w:val="00BB3D8E"/>
    <w:rsid w:val="00BB3E3C"/>
    <w:rsid w:val="00BB42A8"/>
    <w:rsid w:val="00BB4798"/>
    <w:rsid w:val="00BB4D4F"/>
    <w:rsid w:val="00BB54E4"/>
    <w:rsid w:val="00BB6102"/>
    <w:rsid w:val="00BB64E6"/>
    <w:rsid w:val="00BB69FF"/>
    <w:rsid w:val="00BB6AA6"/>
    <w:rsid w:val="00BB7265"/>
    <w:rsid w:val="00BB7391"/>
    <w:rsid w:val="00BB755B"/>
    <w:rsid w:val="00BB764B"/>
    <w:rsid w:val="00BB76AC"/>
    <w:rsid w:val="00BB7777"/>
    <w:rsid w:val="00BB78B9"/>
    <w:rsid w:val="00BC064A"/>
    <w:rsid w:val="00BC07E7"/>
    <w:rsid w:val="00BC0A6C"/>
    <w:rsid w:val="00BC0FC9"/>
    <w:rsid w:val="00BC11C6"/>
    <w:rsid w:val="00BC1429"/>
    <w:rsid w:val="00BC1AE5"/>
    <w:rsid w:val="00BC296F"/>
    <w:rsid w:val="00BC2996"/>
    <w:rsid w:val="00BC2AC7"/>
    <w:rsid w:val="00BC31EC"/>
    <w:rsid w:val="00BC33A3"/>
    <w:rsid w:val="00BC40AB"/>
    <w:rsid w:val="00BC44BD"/>
    <w:rsid w:val="00BC4743"/>
    <w:rsid w:val="00BC4899"/>
    <w:rsid w:val="00BC4A29"/>
    <w:rsid w:val="00BC4CE2"/>
    <w:rsid w:val="00BC4FD8"/>
    <w:rsid w:val="00BC50EC"/>
    <w:rsid w:val="00BC51DC"/>
    <w:rsid w:val="00BC53D6"/>
    <w:rsid w:val="00BC577E"/>
    <w:rsid w:val="00BC5829"/>
    <w:rsid w:val="00BC5B23"/>
    <w:rsid w:val="00BC5B96"/>
    <w:rsid w:val="00BC61F9"/>
    <w:rsid w:val="00BC62CC"/>
    <w:rsid w:val="00BC6A48"/>
    <w:rsid w:val="00BC73A8"/>
    <w:rsid w:val="00BC7577"/>
    <w:rsid w:val="00BC7DE2"/>
    <w:rsid w:val="00BD088E"/>
    <w:rsid w:val="00BD0CDA"/>
    <w:rsid w:val="00BD1596"/>
    <w:rsid w:val="00BD15C7"/>
    <w:rsid w:val="00BD1655"/>
    <w:rsid w:val="00BD1708"/>
    <w:rsid w:val="00BD1A85"/>
    <w:rsid w:val="00BD1F4D"/>
    <w:rsid w:val="00BD2020"/>
    <w:rsid w:val="00BD26E1"/>
    <w:rsid w:val="00BD2714"/>
    <w:rsid w:val="00BD2EA8"/>
    <w:rsid w:val="00BD31F2"/>
    <w:rsid w:val="00BD34F1"/>
    <w:rsid w:val="00BD360D"/>
    <w:rsid w:val="00BD3633"/>
    <w:rsid w:val="00BD3A34"/>
    <w:rsid w:val="00BD3AAA"/>
    <w:rsid w:val="00BD3B49"/>
    <w:rsid w:val="00BD3CDE"/>
    <w:rsid w:val="00BD42CC"/>
    <w:rsid w:val="00BD46D4"/>
    <w:rsid w:val="00BD499C"/>
    <w:rsid w:val="00BD4CD2"/>
    <w:rsid w:val="00BD4DE2"/>
    <w:rsid w:val="00BD4E90"/>
    <w:rsid w:val="00BD52EA"/>
    <w:rsid w:val="00BD56C5"/>
    <w:rsid w:val="00BD570A"/>
    <w:rsid w:val="00BD5ADD"/>
    <w:rsid w:val="00BD62C2"/>
    <w:rsid w:val="00BD6D4D"/>
    <w:rsid w:val="00BD6D97"/>
    <w:rsid w:val="00BD6E31"/>
    <w:rsid w:val="00BD70F9"/>
    <w:rsid w:val="00BD73BA"/>
    <w:rsid w:val="00BD7462"/>
    <w:rsid w:val="00BD761F"/>
    <w:rsid w:val="00BD76D7"/>
    <w:rsid w:val="00BD799D"/>
    <w:rsid w:val="00BD7F45"/>
    <w:rsid w:val="00BE0120"/>
    <w:rsid w:val="00BE021B"/>
    <w:rsid w:val="00BE07EE"/>
    <w:rsid w:val="00BE081F"/>
    <w:rsid w:val="00BE0862"/>
    <w:rsid w:val="00BE0CE3"/>
    <w:rsid w:val="00BE0E60"/>
    <w:rsid w:val="00BE1533"/>
    <w:rsid w:val="00BE1573"/>
    <w:rsid w:val="00BE1582"/>
    <w:rsid w:val="00BE1E56"/>
    <w:rsid w:val="00BE1E6E"/>
    <w:rsid w:val="00BE2213"/>
    <w:rsid w:val="00BE2261"/>
    <w:rsid w:val="00BE2413"/>
    <w:rsid w:val="00BE2417"/>
    <w:rsid w:val="00BE2567"/>
    <w:rsid w:val="00BE2919"/>
    <w:rsid w:val="00BE2B5E"/>
    <w:rsid w:val="00BE3219"/>
    <w:rsid w:val="00BE35E0"/>
    <w:rsid w:val="00BE3AED"/>
    <w:rsid w:val="00BE3B62"/>
    <w:rsid w:val="00BE3D4B"/>
    <w:rsid w:val="00BE3E4A"/>
    <w:rsid w:val="00BE425F"/>
    <w:rsid w:val="00BE44FE"/>
    <w:rsid w:val="00BE4564"/>
    <w:rsid w:val="00BE48AF"/>
    <w:rsid w:val="00BE4B65"/>
    <w:rsid w:val="00BE4BCD"/>
    <w:rsid w:val="00BE4D81"/>
    <w:rsid w:val="00BE5434"/>
    <w:rsid w:val="00BE58FE"/>
    <w:rsid w:val="00BE60A2"/>
    <w:rsid w:val="00BE642A"/>
    <w:rsid w:val="00BE69EE"/>
    <w:rsid w:val="00BE6D49"/>
    <w:rsid w:val="00BE6E14"/>
    <w:rsid w:val="00BE7277"/>
    <w:rsid w:val="00BE7422"/>
    <w:rsid w:val="00BE74C9"/>
    <w:rsid w:val="00BE7675"/>
    <w:rsid w:val="00BE797F"/>
    <w:rsid w:val="00BE7DBF"/>
    <w:rsid w:val="00BF001E"/>
    <w:rsid w:val="00BF0BEE"/>
    <w:rsid w:val="00BF0C09"/>
    <w:rsid w:val="00BF0C11"/>
    <w:rsid w:val="00BF1270"/>
    <w:rsid w:val="00BF16EA"/>
    <w:rsid w:val="00BF1D08"/>
    <w:rsid w:val="00BF1DFA"/>
    <w:rsid w:val="00BF2644"/>
    <w:rsid w:val="00BF298D"/>
    <w:rsid w:val="00BF3096"/>
    <w:rsid w:val="00BF372F"/>
    <w:rsid w:val="00BF37B9"/>
    <w:rsid w:val="00BF3A01"/>
    <w:rsid w:val="00BF3A3C"/>
    <w:rsid w:val="00BF3CC4"/>
    <w:rsid w:val="00BF3D2E"/>
    <w:rsid w:val="00BF5037"/>
    <w:rsid w:val="00BF5041"/>
    <w:rsid w:val="00BF50D9"/>
    <w:rsid w:val="00BF53BE"/>
    <w:rsid w:val="00BF5827"/>
    <w:rsid w:val="00BF5888"/>
    <w:rsid w:val="00BF58F9"/>
    <w:rsid w:val="00BF5963"/>
    <w:rsid w:val="00BF598B"/>
    <w:rsid w:val="00BF5C21"/>
    <w:rsid w:val="00BF5F30"/>
    <w:rsid w:val="00BF653F"/>
    <w:rsid w:val="00BF6635"/>
    <w:rsid w:val="00BF67DA"/>
    <w:rsid w:val="00BF68AC"/>
    <w:rsid w:val="00BF6A8C"/>
    <w:rsid w:val="00BF6F9E"/>
    <w:rsid w:val="00BF7D26"/>
    <w:rsid w:val="00BF7EAF"/>
    <w:rsid w:val="00C00051"/>
    <w:rsid w:val="00C00778"/>
    <w:rsid w:val="00C008BA"/>
    <w:rsid w:val="00C00B8B"/>
    <w:rsid w:val="00C01441"/>
    <w:rsid w:val="00C01A08"/>
    <w:rsid w:val="00C01BBE"/>
    <w:rsid w:val="00C01FB0"/>
    <w:rsid w:val="00C02A50"/>
    <w:rsid w:val="00C02CE3"/>
    <w:rsid w:val="00C03374"/>
    <w:rsid w:val="00C03E0A"/>
    <w:rsid w:val="00C03E31"/>
    <w:rsid w:val="00C04679"/>
    <w:rsid w:val="00C05078"/>
    <w:rsid w:val="00C050C1"/>
    <w:rsid w:val="00C0516A"/>
    <w:rsid w:val="00C053F0"/>
    <w:rsid w:val="00C05682"/>
    <w:rsid w:val="00C0591E"/>
    <w:rsid w:val="00C05967"/>
    <w:rsid w:val="00C05A3A"/>
    <w:rsid w:val="00C05C5D"/>
    <w:rsid w:val="00C060F4"/>
    <w:rsid w:val="00C063EF"/>
    <w:rsid w:val="00C06670"/>
    <w:rsid w:val="00C066CE"/>
    <w:rsid w:val="00C06C0F"/>
    <w:rsid w:val="00C06C84"/>
    <w:rsid w:val="00C07481"/>
    <w:rsid w:val="00C075DB"/>
    <w:rsid w:val="00C07B0C"/>
    <w:rsid w:val="00C07B13"/>
    <w:rsid w:val="00C10530"/>
    <w:rsid w:val="00C10605"/>
    <w:rsid w:val="00C10798"/>
    <w:rsid w:val="00C10810"/>
    <w:rsid w:val="00C108AE"/>
    <w:rsid w:val="00C10966"/>
    <w:rsid w:val="00C10A9C"/>
    <w:rsid w:val="00C10AA1"/>
    <w:rsid w:val="00C1129E"/>
    <w:rsid w:val="00C11508"/>
    <w:rsid w:val="00C1158E"/>
    <w:rsid w:val="00C115DF"/>
    <w:rsid w:val="00C11A43"/>
    <w:rsid w:val="00C11AA2"/>
    <w:rsid w:val="00C11B53"/>
    <w:rsid w:val="00C11C1A"/>
    <w:rsid w:val="00C11FEB"/>
    <w:rsid w:val="00C12230"/>
    <w:rsid w:val="00C129F0"/>
    <w:rsid w:val="00C12AFD"/>
    <w:rsid w:val="00C1318E"/>
    <w:rsid w:val="00C13742"/>
    <w:rsid w:val="00C138D1"/>
    <w:rsid w:val="00C14049"/>
    <w:rsid w:val="00C1408B"/>
    <w:rsid w:val="00C145FF"/>
    <w:rsid w:val="00C14621"/>
    <w:rsid w:val="00C1474F"/>
    <w:rsid w:val="00C15071"/>
    <w:rsid w:val="00C15709"/>
    <w:rsid w:val="00C15789"/>
    <w:rsid w:val="00C159F7"/>
    <w:rsid w:val="00C15B71"/>
    <w:rsid w:val="00C15D0C"/>
    <w:rsid w:val="00C167E4"/>
    <w:rsid w:val="00C16F6D"/>
    <w:rsid w:val="00C17283"/>
    <w:rsid w:val="00C17725"/>
    <w:rsid w:val="00C177E0"/>
    <w:rsid w:val="00C17F0C"/>
    <w:rsid w:val="00C17F4C"/>
    <w:rsid w:val="00C200DC"/>
    <w:rsid w:val="00C20C74"/>
    <w:rsid w:val="00C20D8C"/>
    <w:rsid w:val="00C20E1C"/>
    <w:rsid w:val="00C20F2D"/>
    <w:rsid w:val="00C21072"/>
    <w:rsid w:val="00C2121C"/>
    <w:rsid w:val="00C2158B"/>
    <w:rsid w:val="00C21B0D"/>
    <w:rsid w:val="00C21D64"/>
    <w:rsid w:val="00C21E79"/>
    <w:rsid w:val="00C21EB2"/>
    <w:rsid w:val="00C21F68"/>
    <w:rsid w:val="00C221B8"/>
    <w:rsid w:val="00C2227F"/>
    <w:rsid w:val="00C222B1"/>
    <w:rsid w:val="00C22326"/>
    <w:rsid w:val="00C226EB"/>
    <w:rsid w:val="00C22EFC"/>
    <w:rsid w:val="00C23680"/>
    <w:rsid w:val="00C23754"/>
    <w:rsid w:val="00C23DB1"/>
    <w:rsid w:val="00C23FD7"/>
    <w:rsid w:val="00C242E3"/>
    <w:rsid w:val="00C246B5"/>
    <w:rsid w:val="00C2518D"/>
    <w:rsid w:val="00C25A95"/>
    <w:rsid w:val="00C25F33"/>
    <w:rsid w:val="00C26C90"/>
    <w:rsid w:val="00C27098"/>
    <w:rsid w:val="00C27180"/>
    <w:rsid w:val="00C272D2"/>
    <w:rsid w:val="00C27546"/>
    <w:rsid w:val="00C27930"/>
    <w:rsid w:val="00C27B0E"/>
    <w:rsid w:val="00C27BCB"/>
    <w:rsid w:val="00C27F29"/>
    <w:rsid w:val="00C30BA9"/>
    <w:rsid w:val="00C30CC5"/>
    <w:rsid w:val="00C31377"/>
    <w:rsid w:val="00C3187E"/>
    <w:rsid w:val="00C31AE1"/>
    <w:rsid w:val="00C31FC5"/>
    <w:rsid w:val="00C3203C"/>
    <w:rsid w:val="00C3209D"/>
    <w:rsid w:val="00C32139"/>
    <w:rsid w:val="00C32176"/>
    <w:rsid w:val="00C324E4"/>
    <w:rsid w:val="00C3296B"/>
    <w:rsid w:val="00C32C03"/>
    <w:rsid w:val="00C32C40"/>
    <w:rsid w:val="00C3320D"/>
    <w:rsid w:val="00C332F9"/>
    <w:rsid w:val="00C33428"/>
    <w:rsid w:val="00C33843"/>
    <w:rsid w:val="00C339B4"/>
    <w:rsid w:val="00C34497"/>
    <w:rsid w:val="00C34FCF"/>
    <w:rsid w:val="00C350B3"/>
    <w:rsid w:val="00C351D2"/>
    <w:rsid w:val="00C3521F"/>
    <w:rsid w:val="00C354C2"/>
    <w:rsid w:val="00C35C79"/>
    <w:rsid w:val="00C3612F"/>
    <w:rsid w:val="00C36469"/>
    <w:rsid w:val="00C368F9"/>
    <w:rsid w:val="00C36F93"/>
    <w:rsid w:val="00C36FA6"/>
    <w:rsid w:val="00C3707E"/>
    <w:rsid w:val="00C371E8"/>
    <w:rsid w:val="00C37586"/>
    <w:rsid w:val="00C37C03"/>
    <w:rsid w:val="00C37E7B"/>
    <w:rsid w:val="00C400EC"/>
    <w:rsid w:val="00C40236"/>
    <w:rsid w:val="00C40282"/>
    <w:rsid w:val="00C403FE"/>
    <w:rsid w:val="00C4053C"/>
    <w:rsid w:val="00C40641"/>
    <w:rsid w:val="00C40C3A"/>
    <w:rsid w:val="00C40F78"/>
    <w:rsid w:val="00C4120E"/>
    <w:rsid w:val="00C413D7"/>
    <w:rsid w:val="00C416B6"/>
    <w:rsid w:val="00C420BB"/>
    <w:rsid w:val="00C43252"/>
    <w:rsid w:val="00C43CAB"/>
    <w:rsid w:val="00C43D58"/>
    <w:rsid w:val="00C447A6"/>
    <w:rsid w:val="00C448A4"/>
    <w:rsid w:val="00C4494C"/>
    <w:rsid w:val="00C4496C"/>
    <w:rsid w:val="00C44A62"/>
    <w:rsid w:val="00C450BB"/>
    <w:rsid w:val="00C450E1"/>
    <w:rsid w:val="00C45718"/>
    <w:rsid w:val="00C45CD9"/>
    <w:rsid w:val="00C45E40"/>
    <w:rsid w:val="00C45FF0"/>
    <w:rsid w:val="00C462A3"/>
    <w:rsid w:val="00C4665F"/>
    <w:rsid w:val="00C46BFD"/>
    <w:rsid w:val="00C46D38"/>
    <w:rsid w:val="00C47136"/>
    <w:rsid w:val="00C4732C"/>
    <w:rsid w:val="00C476E2"/>
    <w:rsid w:val="00C47F13"/>
    <w:rsid w:val="00C50075"/>
    <w:rsid w:val="00C503BC"/>
    <w:rsid w:val="00C506F3"/>
    <w:rsid w:val="00C50800"/>
    <w:rsid w:val="00C50992"/>
    <w:rsid w:val="00C50B84"/>
    <w:rsid w:val="00C50C0F"/>
    <w:rsid w:val="00C51901"/>
    <w:rsid w:val="00C51995"/>
    <w:rsid w:val="00C519FC"/>
    <w:rsid w:val="00C51ADF"/>
    <w:rsid w:val="00C51AE3"/>
    <w:rsid w:val="00C51B53"/>
    <w:rsid w:val="00C52705"/>
    <w:rsid w:val="00C5276E"/>
    <w:rsid w:val="00C52CAE"/>
    <w:rsid w:val="00C52F3A"/>
    <w:rsid w:val="00C53277"/>
    <w:rsid w:val="00C53A88"/>
    <w:rsid w:val="00C53A8F"/>
    <w:rsid w:val="00C53ABC"/>
    <w:rsid w:val="00C53AD7"/>
    <w:rsid w:val="00C540E8"/>
    <w:rsid w:val="00C5436E"/>
    <w:rsid w:val="00C543DF"/>
    <w:rsid w:val="00C54533"/>
    <w:rsid w:val="00C54E09"/>
    <w:rsid w:val="00C54F79"/>
    <w:rsid w:val="00C559BB"/>
    <w:rsid w:val="00C55F10"/>
    <w:rsid w:val="00C560C1"/>
    <w:rsid w:val="00C560FB"/>
    <w:rsid w:val="00C5691A"/>
    <w:rsid w:val="00C56A19"/>
    <w:rsid w:val="00C56D3C"/>
    <w:rsid w:val="00C56E92"/>
    <w:rsid w:val="00C56F8D"/>
    <w:rsid w:val="00C5732D"/>
    <w:rsid w:val="00C57376"/>
    <w:rsid w:val="00C57770"/>
    <w:rsid w:val="00C603FA"/>
    <w:rsid w:val="00C60A51"/>
    <w:rsid w:val="00C60FDA"/>
    <w:rsid w:val="00C61266"/>
    <w:rsid w:val="00C61966"/>
    <w:rsid w:val="00C61AA1"/>
    <w:rsid w:val="00C61B4D"/>
    <w:rsid w:val="00C6243B"/>
    <w:rsid w:val="00C63026"/>
    <w:rsid w:val="00C63049"/>
    <w:rsid w:val="00C631F5"/>
    <w:rsid w:val="00C63390"/>
    <w:rsid w:val="00C6392B"/>
    <w:rsid w:val="00C639FB"/>
    <w:rsid w:val="00C6430C"/>
    <w:rsid w:val="00C64582"/>
    <w:rsid w:val="00C65037"/>
    <w:rsid w:val="00C6510A"/>
    <w:rsid w:val="00C653C6"/>
    <w:rsid w:val="00C65B99"/>
    <w:rsid w:val="00C65C14"/>
    <w:rsid w:val="00C6602B"/>
    <w:rsid w:val="00C6656C"/>
    <w:rsid w:val="00C667CB"/>
    <w:rsid w:val="00C6691A"/>
    <w:rsid w:val="00C66DF7"/>
    <w:rsid w:val="00C66EF4"/>
    <w:rsid w:val="00C67F65"/>
    <w:rsid w:val="00C703BE"/>
    <w:rsid w:val="00C70676"/>
    <w:rsid w:val="00C7096F"/>
    <w:rsid w:val="00C709BB"/>
    <w:rsid w:val="00C70C89"/>
    <w:rsid w:val="00C7100F"/>
    <w:rsid w:val="00C7130F"/>
    <w:rsid w:val="00C7183B"/>
    <w:rsid w:val="00C719D9"/>
    <w:rsid w:val="00C71B41"/>
    <w:rsid w:val="00C71EB4"/>
    <w:rsid w:val="00C72050"/>
    <w:rsid w:val="00C7233E"/>
    <w:rsid w:val="00C727D9"/>
    <w:rsid w:val="00C72DFB"/>
    <w:rsid w:val="00C72FFC"/>
    <w:rsid w:val="00C73178"/>
    <w:rsid w:val="00C732B2"/>
    <w:rsid w:val="00C734B0"/>
    <w:rsid w:val="00C73689"/>
    <w:rsid w:val="00C739F8"/>
    <w:rsid w:val="00C73B71"/>
    <w:rsid w:val="00C73DD1"/>
    <w:rsid w:val="00C73E15"/>
    <w:rsid w:val="00C740F8"/>
    <w:rsid w:val="00C74107"/>
    <w:rsid w:val="00C75316"/>
    <w:rsid w:val="00C756D9"/>
    <w:rsid w:val="00C75FC7"/>
    <w:rsid w:val="00C760C2"/>
    <w:rsid w:val="00C765F2"/>
    <w:rsid w:val="00C769A9"/>
    <w:rsid w:val="00C76CA8"/>
    <w:rsid w:val="00C76D1E"/>
    <w:rsid w:val="00C76F1F"/>
    <w:rsid w:val="00C77ED9"/>
    <w:rsid w:val="00C77F2F"/>
    <w:rsid w:val="00C77FCE"/>
    <w:rsid w:val="00C800E6"/>
    <w:rsid w:val="00C80176"/>
    <w:rsid w:val="00C8093B"/>
    <w:rsid w:val="00C80A87"/>
    <w:rsid w:val="00C80DD6"/>
    <w:rsid w:val="00C80DD7"/>
    <w:rsid w:val="00C81010"/>
    <w:rsid w:val="00C8102C"/>
    <w:rsid w:val="00C81472"/>
    <w:rsid w:val="00C8172D"/>
    <w:rsid w:val="00C81D23"/>
    <w:rsid w:val="00C82392"/>
    <w:rsid w:val="00C82703"/>
    <w:rsid w:val="00C82AF1"/>
    <w:rsid w:val="00C82B4F"/>
    <w:rsid w:val="00C82CE8"/>
    <w:rsid w:val="00C82E40"/>
    <w:rsid w:val="00C82F4B"/>
    <w:rsid w:val="00C82FFC"/>
    <w:rsid w:val="00C83048"/>
    <w:rsid w:val="00C833EF"/>
    <w:rsid w:val="00C83A16"/>
    <w:rsid w:val="00C83A34"/>
    <w:rsid w:val="00C83C6E"/>
    <w:rsid w:val="00C83FD0"/>
    <w:rsid w:val="00C84213"/>
    <w:rsid w:val="00C842BD"/>
    <w:rsid w:val="00C8464E"/>
    <w:rsid w:val="00C84E19"/>
    <w:rsid w:val="00C850CC"/>
    <w:rsid w:val="00C856A2"/>
    <w:rsid w:val="00C858D1"/>
    <w:rsid w:val="00C859BA"/>
    <w:rsid w:val="00C86372"/>
    <w:rsid w:val="00C86C37"/>
    <w:rsid w:val="00C86EC2"/>
    <w:rsid w:val="00C8711F"/>
    <w:rsid w:val="00C87E33"/>
    <w:rsid w:val="00C87F76"/>
    <w:rsid w:val="00C9054A"/>
    <w:rsid w:val="00C907EE"/>
    <w:rsid w:val="00C90AD2"/>
    <w:rsid w:val="00C90CE9"/>
    <w:rsid w:val="00C90E6E"/>
    <w:rsid w:val="00C91180"/>
    <w:rsid w:val="00C913D5"/>
    <w:rsid w:val="00C91522"/>
    <w:rsid w:val="00C91696"/>
    <w:rsid w:val="00C9171A"/>
    <w:rsid w:val="00C9196E"/>
    <w:rsid w:val="00C91F99"/>
    <w:rsid w:val="00C91FF4"/>
    <w:rsid w:val="00C92082"/>
    <w:rsid w:val="00C92155"/>
    <w:rsid w:val="00C929D0"/>
    <w:rsid w:val="00C92D65"/>
    <w:rsid w:val="00C92F08"/>
    <w:rsid w:val="00C92F9C"/>
    <w:rsid w:val="00C930D2"/>
    <w:rsid w:val="00C93602"/>
    <w:rsid w:val="00C93BF2"/>
    <w:rsid w:val="00C93E27"/>
    <w:rsid w:val="00C93F91"/>
    <w:rsid w:val="00C9400B"/>
    <w:rsid w:val="00C940DB"/>
    <w:rsid w:val="00C9427D"/>
    <w:rsid w:val="00C94898"/>
    <w:rsid w:val="00C949C0"/>
    <w:rsid w:val="00C94BAE"/>
    <w:rsid w:val="00C95662"/>
    <w:rsid w:val="00C95A9F"/>
    <w:rsid w:val="00C95C4A"/>
    <w:rsid w:val="00C95E7F"/>
    <w:rsid w:val="00C9671E"/>
    <w:rsid w:val="00C96CC0"/>
    <w:rsid w:val="00C96D32"/>
    <w:rsid w:val="00C96E90"/>
    <w:rsid w:val="00C97391"/>
    <w:rsid w:val="00C974C5"/>
    <w:rsid w:val="00C97618"/>
    <w:rsid w:val="00C979C6"/>
    <w:rsid w:val="00C97A12"/>
    <w:rsid w:val="00C97C56"/>
    <w:rsid w:val="00C97E5D"/>
    <w:rsid w:val="00CA0128"/>
    <w:rsid w:val="00CA014D"/>
    <w:rsid w:val="00CA01A1"/>
    <w:rsid w:val="00CA01DD"/>
    <w:rsid w:val="00CA0AE1"/>
    <w:rsid w:val="00CA0BBB"/>
    <w:rsid w:val="00CA0BCC"/>
    <w:rsid w:val="00CA0F9E"/>
    <w:rsid w:val="00CA10C5"/>
    <w:rsid w:val="00CA137F"/>
    <w:rsid w:val="00CA160F"/>
    <w:rsid w:val="00CA17A6"/>
    <w:rsid w:val="00CA1BA0"/>
    <w:rsid w:val="00CA1BE7"/>
    <w:rsid w:val="00CA1C5B"/>
    <w:rsid w:val="00CA2177"/>
    <w:rsid w:val="00CA237B"/>
    <w:rsid w:val="00CA2977"/>
    <w:rsid w:val="00CA2B4D"/>
    <w:rsid w:val="00CA2E92"/>
    <w:rsid w:val="00CA2ED4"/>
    <w:rsid w:val="00CA3565"/>
    <w:rsid w:val="00CA36F5"/>
    <w:rsid w:val="00CA39B5"/>
    <w:rsid w:val="00CA39D4"/>
    <w:rsid w:val="00CA3A07"/>
    <w:rsid w:val="00CA3C99"/>
    <w:rsid w:val="00CA3F69"/>
    <w:rsid w:val="00CA40FB"/>
    <w:rsid w:val="00CA4155"/>
    <w:rsid w:val="00CA43D5"/>
    <w:rsid w:val="00CA4765"/>
    <w:rsid w:val="00CA4881"/>
    <w:rsid w:val="00CA5451"/>
    <w:rsid w:val="00CA54E2"/>
    <w:rsid w:val="00CA56F0"/>
    <w:rsid w:val="00CA589E"/>
    <w:rsid w:val="00CA594D"/>
    <w:rsid w:val="00CA5FB1"/>
    <w:rsid w:val="00CA60CB"/>
    <w:rsid w:val="00CA61C5"/>
    <w:rsid w:val="00CA6403"/>
    <w:rsid w:val="00CA68A2"/>
    <w:rsid w:val="00CA69C3"/>
    <w:rsid w:val="00CA7BE7"/>
    <w:rsid w:val="00CA7CF2"/>
    <w:rsid w:val="00CB0777"/>
    <w:rsid w:val="00CB08CE"/>
    <w:rsid w:val="00CB11A3"/>
    <w:rsid w:val="00CB1697"/>
    <w:rsid w:val="00CB25D6"/>
    <w:rsid w:val="00CB271C"/>
    <w:rsid w:val="00CB2A5C"/>
    <w:rsid w:val="00CB2BD6"/>
    <w:rsid w:val="00CB2E11"/>
    <w:rsid w:val="00CB3043"/>
    <w:rsid w:val="00CB30B2"/>
    <w:rsid w:val="00CB3313"/>
    <w:rsid w:val="00CB34CE"/>
    <w:rsid w:val="00CB3775"/>
    <w:rsid w:val="00CB3CC1"/>
    <w:rsid w:val="00CB3D74"/>
    <w:rsid w:val="00CB452B"/>
    <w:rsid w:val="00CB4F59"/>
    <w:rsid w:val="00CB5044"/>
    <w:rsid w:val="00CB5242"/>
    <w:rsid w:val="00CB52F6"/>
    <w:rsid w:val="00CB57FA"/>
    <w:rsid w:val="00CB593D"/>
    <w:rsid w:val="00CB5CAD"/>
    <w:rsid w:val="00CB5EA1"/>
    <w:rsid w:val="00CB5FB4"/>
    <w:rsid w:val="00CB61A7"/>
    <w:rsid w:val="00CB701A"/>
    <w:rsid w:val="00CB7123"/>
    <w:rsid w:val="00CB7B88"/>
    <w:rsid w:val="00CC08A6"/>
    <w:rsid w:val="00CC0920"/>
    <w:rsid w:val="00CC0D46"/>
    <w:rsid w:val="00CC103E"/>
    <w:rsid w:val="00CC10AD"/>
    <w:rsid w:val="00CC1485"/>
    <w:rsid w:val="00CC193E"/>
    <w:rsid w:val="00CC1ABC"/>
    <w:rsid w:val="00CC20F7"/>
    <w:rsid w:val="00CC23E0"/>
    <w:rsid w:val="00CC296A"/>
    <w:rsid w:val="00CC2B3C"/>
    <w:rsid w:val="00CC2F09"/>
    <w:rsid w:val="00CC30A7"/>
    <w:rsid w:val="00CC3575"/>
    <w:rsid w:val="00CC392F"/>
    <w:rsid w:val="00CC4255"/>
    <w:rsid w:val="00CC4D67"/>
    <w:rsid w:val="00CC4EDC"/>
    <w:rsid w:val="00CC503F"/>
    <w:rsid w:val="00CC51E9"/>
    <w:rsid w:val="00CC5293"/>
    <w:rsid w:val="00CC53EC"/>
    <w:rsid w:val="00CC59F3"/>
    <w:rsid w:val="00CC5A10"/>
    <w:rsid w:val="00CC5FCE"/>
    <w:rsid w:val="00CC602A"/>
    <w:rsid w:val="00CC62C9"/>
    <w:rsid w:val="00CC67D7"/>
    <w:rsid w:val="00CC6FBF"/>
    <w:rsid w:val="00CC7236"/>
    <w:rsid w:val="00CC725A"/>
    <w:rsid w:val="00CC7465"/>
    <w:rsid w:val="00CC7891"/>
    <w:rsid w:val="00CC78A5"/>
    <w:rsid w:val="00CC7A99"/>
    <w:rsid w:val="00CC7E7A"/>
    <w:rsid w:val="00CC7FC5"/>
    <w:rsid w:val="00CD074F"/>
    <w:rsid w:val="00CD0BBC"/>
    <w:rsid w:val="00CD0FD6"/>
    <w:rsid w:val="00CD128C"/>
    <w:rsid w:val="00CD1612"/>
    <w:rsid w:val="00CD2566"/>
    <w:rsid w:val="00CD2A8F"/>
    <w:rsid w:val="00CD2B9A"/>
    <w:rsid w:val="00CD2BFE"/>
    <w:rsid w:val="00CD2C99"/>
    <w:rsid w:val="00CD2E1D"/>
    <w:rsid w:val="00CD2EA7"/>
    <w:rsid w:val="00CD3001"/>
    <w:rsid w:val="00CD3ABC"/>
    <w:rsid w:val="00CD4345"/>
    <w:rsid w:val="00CD472C"/>
    <w:rsid w:val="00CD492E"/>
    <w:rsid w:val="00CD4B15"/>
    <w:rsid w:val="00CD4C8D"/>
    <w:rsid w:val="00CD5266"/>
    <w:rsid w:val="00CD563D"/>
    <w:rsid w:val="00CD5721"/>
    <w:rsid w:val="00CD593C"/>
    <w:rsid w:val="00CD597B"/>
    <w:rsid w:val="00CD5DBB"/>
    <w:rsid w:val="00CD5F3D"/>
    <w:rsid w:val="00CD66AE"/>
    <w:rsid w:val="00CD6BA0"/>
    <w:rsid w:val="00CD7972"/>
    <w:rsid w:val="00CD7CB2"/>
    <w:rsid w:val="00CE05CD"/>
    <w:rsid w:val="00CE1226"/>
    <w:rsid w:val="00CE126C"/>
    <w:rsid w:val="00CE1496"/>
    <w:rsid w:val="00CE169B"/>
    <w:rsid w:val="00CE2351"/>
    <w:rsid w:val="00CE23A4"/>
    <w:rsid w:val="00CE241C"/>
    <w:rsid w:val="00CE2467"/>
    <w:rsid w:val="00CE2529"/>
    <w:rsid w:val="00CE274E"/>
    <w:rsid w:val="00CE2950"/>
    <w:rsid w:val="00CE297B"/>
    <w:rsid w:val="00CE2996"/>
    <w:rsid w:val="00CE2B22"/>
    <w:rsid w:val="00CE2D50"/>
    <w:rsid w:val="00CE2DF3"/>
    <w:rsid w:val="00CE2E1E"/>
    <w:rsid w:val="00CE2EE9"/>
    <w:rsid w:val="00CE301D"/>
    <w:rsid w:val="00CE37B2"/>
    <w:rsid w:val="00CE3DF7"/>
    <w:rsid w:val="00CE4507"/>
    <w:rsid w:val="00CE46E5"/>
    <w:rsid w:val="00CE4985"/>
    <w:rsid w:val="00CE4A20"/>
    <w:rsid w:val="00CE5019"/>
    <w:rsid w:val="00CE5127"/>
    <w:rsid w:val="00CE51EE"/>
    <w:rsid w:val="00CE563D"/>
    <w:rsid w:val="00CE6641"/>
    <w:rsid w:val="00CE6986"/>
    <w:rsid w:val="00CE6A52"/>
    <w:rsid w:val="00CE6AEA"/>
    <w:rsid w:val="00CE6DBB"/>
    <w:rsid w:val="00CE7A75"/>
    <w:rsid w:val="00CE7B59"/>
    <w:rsid w:val="00CE7C88"/>
    <w:rsid w:val="00CF05DE"/>
    <w:rsid w:val="00CF0650"/>
    <w:rsid w:val="00CF0833"/>
    <w:rsid w:val="00CF0941"/>
    <w:rsid w:val="00CF0B3F"/>
    <w:rsid w:val="00CF0EB0"/>
    <w:rsid w:val="00CF108B"/>
    <w:rsid w:val="00CF11D8"/>
    <w:rsid w:val="00CF13B9"/>
    <w:rsid w:val="00CF1487"/>
    <w:rsid w:val="00CF1588"/>
    <w:rsid w:val="00CF180E"/>
    <w:rsid w:val="00CF1861"/>
    <w:rsid w:val="00CF1932"/>
    <w:rsid w:val="00CF1EE1"/>
    <w:rsid w:val="00CF20B9"/>
    <w:rsid w:val="00CF2610"/>
    <w:rsid w:val="00CF2B58"/>
    <w:rsid w:val="00CF2E10"/>
    <w:rsid w:val="00CF3722"/>
    <w:rsid w:val="00CF3C6C"/>
    <w:rsid w:val="00CF3D49"/>
    <w:rsid w:val="00CF3E0F"/>
    <w:rsid w:val="00CF3E46"/>
    <w:rsid w:val="00CF3FEA"/>
    <w:rsid w:val="00CF45B8"/>
    <w:rsid w:val="00CF4661"/>
    <w:rsid w:val="00CF4932"/>
    <w:rsid w:val="00CF4AF0"/>
    <w:rsid w:val="00CF4B7B"/>
    <w:rsid w:val="00CF4C99"/>
    <w:rsid w:val="00CF4CE1"/>
    <w:rsid w:val="00CF53D8"/>
    <w:rsid w:val="00CF5B26"/>
    <w:rsid w:val="00CF5FAB"/>
    <w:rsid w:val="00CF606D"/>
    <w:rsid w:val="00CF6276"/>
    <w:rsid w:val="00CF64E8"/>
    <w:rsid w:val="00CF686E"/>
    <w:rsid w:val="00CF6C68"/>
    <w:rsid w:val="00CF6F3D"/>
    <w:rsid w:val="00CF719F"/>
    <w:rsid w:val="00CF7497"/>
    <w:rsid w:val="00CF7711"/>
    <w:rsid w:val="00CF7902"/>
    <w:rsid w:val="00CF7EEE"/>
    <w:rsid w:val="00D00667"/>
    <w:rsid w:val="00D006CB"/>
    <w:rsid w:val="00D00855"/>
    <w:rsid w:val="00D00AFE"/>
    <w:rsid w:val="00D01000"/>
    <w:rsid w:val="00D01CCE"/>
    <w:rsid w:val="00D01CE1"/>
    <w:rsid w:val="00D01E3D"/>
    <w:rsid w:val="00D021A2"/>
    <w:rsid w:val="00D022FB"/>
    <w:rsid w:val="00D02C83"/>
    <w:rsid w:val="00D04253"/>
    <w:rsid w:val="00D045A2"/>
    <w:rsid w:val="00D0491B"/>
    <w:rsid w:val="00D056B2"/>
    <w:rsid w:val="00D059C1"/>
    <w:rsid w:val="00D059CF"/>
    <w:rsid w:val="00D05A1F"/>
    <w:rsid w:val="00D06247"/>
    <w:rsid w:val="00D07000"/>
    <w:rsid w:val="00D070E9"/>
    <w:rsid w:val="00D07149"/>
    <w:rsid w:val="00D0744E"/>
    <w:rsid w:val="00D077B5"/>
    <w:rsid w:val="00D0796E"/>
    <w:rsid w:val="00D07F09"/>
    <w:rsid w:val="00D1029A"/>
    <w:rsid w:val="00D106B4"/>
    <w:rsid w:val="00D10760"/>
    <w:rsid w:val="00D1092E"/>
    <w:rsid w:val="00D10A66"/>
    <w:rsid w:val="00D10BA3"/>
    <w:rsid w:val="00D10C36"/>
    <w:rsid w:val="00D112C7"/>
    <w:rsid w:val="00D11684"/>
    <w:rsid w:val="00D11853"/>
    <w:rsid w:val="00D11C6B"/>
    <w:rsid w:val="00D11DA4"/>
    <w:rsid w:val="00D1258E"/>
    <w:rsid w:val="00D1290E"/>
    <w:rsid w:val="00D12FFC"/>
    <w:rsid w:val="00D133DA"/>
    <w:rsid w:val="00D135E7"/>
    <w:rsid w:val="00D138C0"/>
    <w:rsid w:val="00D13EBC"/>
    <w:rsid w:val="00D14510"/>
    <w:rsid w:val="00D14ECF"/>
    <w:rsid w:val="00D1534A"/>
    <w:rsid w:val="00D1539E"/>
    <w:rsid w:val="00D1579F"/>
    <w:rsid w:val="00D157B9"/>
    <w:rsid w:val="00D157F5"/>
    <w:rsid w:val="00D15B9F"/>
    <w:rsid w:val="00D15CBE"/>
    <w:rsid w:val="00D15F95"/>
    <w:rsid w:val="00D1605A"/>
    <w:rsid w:val="00D164BF"/>
    <w:rsid w:val="00D16613"/>
    <w:rsid w:val="00D166BB"/>
    <w:rsid w:val="00D16932"/>
    <w:rsid w:val="00D16A77"/>
    <w:rsid w:val="00D16FAF"/>
    <w:rsid w:val="00D1702B"/>
    <w:rsid w:val="00D17320"/>
    <w:rsid w:val="00D176BA"/>
    <w:rsid w:val="00D17792"/>
    <w:rsid w:val="00D17911"/>
    <w:rsid w:val="00D17D43"/>
    <w:rsid w:val="00D20201"/>
    <w:rsid w:val="00D20583"/>
    <w:rsid w:val="00D208C7"/>
    <w:rsid w:val="00D20FCD"/>
    <w:rsid w:val="00D2104D"/>
    <w:rsid w:val="00D2119A"/>
    <w:rsid w:val="00D211DA"/>
    <w:rsid w:val="00D21CB4"/>
    <w:rsid w:val="00D21E2B"/>
    <w:rsid w:val="00D21E57"/>
    <w:rsid w:val="00D21EB3"/>
    <w:rsid w:val="00D22071"/>
    <w:rsid w:val="00D220D7"/>
    <w:rsid w:val="00D220E7"/>
    <w:rsid w:val="00D225A8"/>
    <w:rsid w:val="00D226DD"/>
    <w:rsid w:val="00D2290A"/>
    <w:rsid w:val="00D22B4D"/>
    <w:rsid w:val="00D22E7F"/>
    <w:rsid w:val="00D23087"/>
    <w:rsid w:val="00D230AC"/>
    <w:rsid w:val="00D232EA"/>
    <w:rsid w:val="00D234F9"/>
    <w:rsid w:val="00D239A9"/>
    <w:rsid w:val="00D23A46"/>
    <w:rsid w:val="00D23BBD"/>
    <w:rsid w:val="00D243C2"/>
    <w:rsid w:val="00D2451F"/>
    <w:rsid w:val="00D24F0E"/>
    <w:rsid w:val="00D256EE"/>
    <w:rsid w:val="00D25997"/>
    <w:rsid w:val="00D25D30"/>
    <w:rsid w:val="00D263A2"/>
    <w:rsid w:val="00D26A02"/>
    <w:rsid w:val="00D27161"/>
    <w:rsid w:val="00D2738A"/>
    <w:rsid w:val="00D2792D"/>
    <w:rsid w:val="00D27D0B"/>
    <w:rsid w:val="00D303F0"/>
    <w:rsid w:val="00D3042B"/>
    <w:rsid w:val="00D3050B"/>
    <w:rsid w:val="00D309AD"/>
    <w:rsid w:val="00D30E70"/>
    <w:rsid w:val="00D31274"/>
    <w:rsid w:val="00D31464"/>
    <w:rsid w:val="00D31B80"/>
    <w:rsid w:val="00D31DDE"/>
    <w:rsid w:val="00D3255A"/>
    <w:rsid w:val="00D32D57"/>
    <w:rsid w:val="00D33003"/>
    <w:rsid w:val="00D3351F"/>
    <w:rsid w:val="00D335A5"/>
    <w:rsid w:val="00D339F6"/>
    <w:rsid w:val="00D33EC7"/>
    <w:rsid w:val="00D34A99"/>
    <w:rsid w:val="00D34BF9"/>
    <w:rsid w:val="00D35125"/>
    <w:rsid w:val="00D352BA"/>
    <w:rsid w:val="00D354E9"/>
    <w:rsid w:val="00D36145"/>
    <w:rsid w:val="00D366D0"/>
    <w:rsid w:val="00D3689B"/>
    <w:rsid w:val="00D36AA0"/>
    <w:rsid w:val="00D36B39"/>
    <w:rsid w:val="00D36B5B"/>
    <w:rsid w:val="00D36C6D"/>
    <w:rsid w:val="00D36C92"/>
    <w:rsid w:val="00D36CBA"/>
    <w:rsid w:val="00D37245"/>
    <w:rsid w:val="00D37397"/>
    <w:rsid w:val="00D374E1"/>
    <w:rsid w:val="00D374F6"/>
    <w:rsid w:val="00D375FC"/>
    <w:rsid w:val="00D379F6"/>
    <w:rsid w:val="00D37B02"/>
    <w:rsid w:val="00D37B78"/>
    <w:rsid w:val="00D37C7A"/>
    <w:rsid w:val="00D37D38"/>
    <w:rsid w:val="00D37EF3"/>
    <w:rsid w:val="00D40129"/>
    <w:rsid w:val="00D4035C"/>
    <w:rsid w:val="00D40474"/>
    <w:rsid w:val="00D40E92"/>
    <w:rsid w:val="00D40FAB"/>
    <w:rsid w:val="00D4115C"/>
    <w:rsid w:val="00D4142C"/>
    <w:rsid w:val="00D415B3"/>
    <w:rsid w:val="00D41E23"/>
    <w:rsid w:val="00D41ECF"/>
    <w:rsid w:val="00D42052"/>
    <w:rsid w:val="00D42168"/>
    <w:rsid w:val="00D42178"/>
    <w:rsid w:val="00D4271E"/>
    <w:rsid w:val="00D42DA8"/>
    <w:rsid w:val="00D43141"/>
    <w:rsid w:val="00D43283"/>
    <w:rsid w:val="00D432F3"/>
    <w:rsid w:val="00D433C7"/>
    <w:rsid w:val="00D433D0"/>
    <w:rsid w:val="00D43940"/>
    <w:rsid w:val="00D43B36"/>
    <w:rsid w:val="00D444FC"/>
    <w:rsid w:val="00D44968"/>
    <w:rsid w:val="00D453CD"/>
    <w:rsid w:val="00D45C09"/>
    <w:rsid w:val="00D46325"/>
    <w:rsid w:val="00D46563"/>
    <w:rsid w:val="00D466B1"/>
    <w:rsid w:val="00D467B7"/>
    <w:rsid w:val="00D473C6"/>
    <w:rsid w:val="00D474A1"/>
    <w:rsid w:val="00D47AD4"/>
    <w:rsid w:val="00D47B05"/>
    <w:rsid w:val="00D47B28"/>
    <w:rsid w:val="00D47B99"/>
    <w:rsid w:val="00D47C4C"/>
    <w:rsid w:val="00D50176"/>
    <w:rsid w:val="00D50500"/>
    <w:rsid w:val="00D50C0E"/>
    <w:rsid w:val="00D50C4A"/>
    <w:rsid w:val="00D50E45"/>
    <w:rsid w:val="00D51062"/>
    <w:rsid w:val="00D510B4"/>
    <w:rsid w:val="00D51603"/>
    <w:rsid w:val="00D5176E"/>
    <w:rsid w:val="00D51B32"/>
    <w:rsid w:val="00D51EAD"/>
    <w:rsid w:val="00D5252F"/>
    <w:rsid w:val="00D52566"/>
    <w:rsid w:val="00D52654"/>
    <w:rsid w:val="00D52BAA"/>
    <w:rsid w:val="00D531CE"/>
    <w:rsid w:val="00D53508"/>
    <w:rsid w:val="00D5388C"/>
    <w:rsid w:val="00D53D58"/>
    <w:rsid w:val="00D543A4"/>
    <w:rsid w:val="00D5445E"/>
    <w:rsid w:val="00D546F8"/>
    <w:rsid w:val="00D54758"/>
    <w:rsid w:val="00D553E4"/>
    <w:rsid w:val="00D5564F"/>
    <w:rsid w:val="00D55D2E"/>
    <w:rsid w:val="00D55DBD"/>
    <w:rsid w:val="00D55F33"/>
    <w:rsid w:val="00D56D28"/>
    <w:rsid w:val="00D5704F"/>
    <w:rsid w:val="00D57760"/>
    <w:rsid w:val="00D60B3A"/>
    <w:rsid w:val="00D61381"/>
    <w:rsid w:val="00D61AD8"/>
    <w:rsid w:val="00D61FE3"/>
    <w:rsid w:val="00D622CD"/>
    <w:rsid w:val="00D62329"/>
    <w:rsid w:val="00D62647"/>
    <w:rsid w:val="00D62919"/>
    <w:rsid w:val="00D635A7"/>
    <w:rsid w:val="00D6360D"/>
    <w:rsid w:val="00D63924"/>
    <w:rsid w:val="00D63C71"/>
    <w:rsid w:val="00D63CED"/>
    <w:rsid w:val="00D63FC6"/>
    <w:rsid w:val="00D645C6"/>
    <w:rsid w:val="00D64CA5"/>
    <w:rsid w:val="00D64F81"/>
    <w:rsid w:val="00D65809"/>
    <w:rsid w:val="00D65896"/>
    <w:rsid w:val="00D65B64"/>
    <w:rsid w:val="00D65CFE"/>
    <w:rsid w:val="00D65E0A"/>
    <w:rsid w:val="00D65F53"/>
    <w:rsid w:val="00D6616A"/>
    <w:rsid w:val="00D6618C"/>
    <w:rsid w:val="00D66640"/>
    <w:rsid w:val="00D66CF4"/>
    <w:rsid w:val="00D66D94"/>
    <w:rsid w:val="00D66E16"/>
    <w:rsid w:val="00D676B2"/>
    <w:rsid w:val="00D67B2B"/>
    <w:rsid w:val="00D67D3F"/>
    <w:rsid w:val="00D70191"/>
    <w:rsid w:val="00D704A2"/>
    <w:rsid w:val="00D70765"/>
    <w:rsid w:val="00D70929"/>
    <w:rsid w:val="00D70BEA"/>
    <w:rsid w:val="00D70D45"/>
    <w:rsid w:val="00D70E19"/>
    <w:rsid w:val="00D70F60"/>
    <w:rsid w:val="00D70FFD"/>
    <w:rsid w:val="00D711BB"/>
    <w:rsid w:val="00D713A3"/>
    <w:rsid w:val="00D71934"/>
    <w:rsid w:val="00D7202F"/>
    <w:rsid w:val="00D73062"/>
    <w:rsid w:val="00D730C6"/>
    <w:rsid w:val="00D73454"/>
    <w:rsid w:val="00D73BD1"/>
    <w:rsid w:val="00D7425D"/>
    <w:rsid w:val="00D743BB"/>
    <w:rsid w:val="00D744B5"/>
    <w:rsid w:val="00D74644"/>
    <w:rsid w:val="00D748D1"/>
    <w:rsid w:val="00D7496C"/>
    <w:rsid w:val="00D74A1E"/>
    <w:rsid w:val="00D74FAA"/>
    <w:rsid w:val="00D74FC6"/>
    <w:rsid w:val="00D7518F"/>
    <w:rsid w:val="00D752E9"/>
    <w:rsid w:val="00D75524"/>
    <w:rsid w:val="00D75713"/>
    <w:rsid w:val="00D7643E"/>
    <w:rsid w:val="00D76821"/>
    <w:rsid w:val="00D76DAA"/>
    <w:rsid w:val="00D77B65"/>
    <w:rsid w:val="00D8004E"/>
    <w:rsid w:val="00D80079"/>
    <w:rsid w:val="00D8018B"/>
    <w:rsid w:val="00D80303"/>
    <w:rsid w:val="00D8098B"/>
    <w:rsid w:val="00D809ED"/>
    <w:rsid w:val="00D810AB"/>
    <w:rsid w:val="00D81F10"/>
    <w:rsid w:val="00D8251E"/>
    <w:rsid w:val="00D827E8"/>
    <w:rsid w:val="00D82962"/>
    <w:rsid w:val="00D82B37"/>
    <w:rsid w:val="00D82CCF"/>
    <w:rsid w:val="00D82CF0"/>
    <w:rsid w:val="00D8337B"/>
    <w:rsid w:val="00D83666"/>
    <w:rsid w:val="00D8379C"/>
    <w:rsid w:val="00D84365"/>
    <w:rsid w:val="00D844D3"/>
    <w:rsid w:val="00D84506"/>
    <w:rsid w:val="00D84916"/>
    <w:rsid w:val="00D84B3C"/>
    <w:rsid w:val="00D84C47"/>
    <w:rsid w:val="00D84D81"/>
    <w:rsid w:val="00D84DBD"/>
    <w:rsid w:val="00D857F3"/>
    <w:rsid w:val="00D859FA"/>
    <w:rsid w:val="00D85C6D"/>
    <w:rsid w:val="00D85CF4"/>
    <w:rsid w:val="00D860C5"/>
    <w:rsid w:val="00D864DF"/>
    <w:rsid w:val="00D867A1"/>
    <w:rsid w:val="00D86AF7"/>
    <w:rsid w:val="00D86B27"/>
    <w:rsid w:val="00D86D27"/>
    <w:rsid w:val="00D86E58"/>
    <w:rsid w:val="00D87276"/>
    <w:rsid w:val="00D87300"/>
    <w:rsid w:val="00D87447"/>
    <w:rsid w:val="00D8747B"/>
    <w:rsid w:val="00D8775F"/>
    <w:rsid w:val="00D87A6D"/>
    <w:rsid w:val="00D900E2"/>
    <w:rsid w:val="00D9045D"/>
    <w:rsid w:val="00D908E8"/>
    <w:rsid w:val="00D909DB"/>
    <w:rsid w:val="00D90A0C"/>
    <w:rsid w:val="00D90C99"/>
    <w:rsid w:val="00D911D1"/>
    <w:rsid w:val="00D913AF"/>
    <w:rsid w:val="00D91458"/>
    <w:rsid w:val="00D91482"/>
    <w:rsid w:val="00D917E6"/>
    <w:rsid w:val="00D9212F"/>
    <w:rsid w:val="00D9292A"/>
    <w:rsid w:val="00D92D32"/>
    <w:rsid w:val="00D9309C"/>
    <w:rsid w:val="00D931BC"/>
    <w:rsid w:val="00D9360C"/>
    <w:rsid w:val="00D937E2"/>
    <w:rsid w:val="00D938FF"/>
    <w:rsid w:val="00D939CE"/>
    <w:rsid w:val="00D93A0F"/>
    <w:rsid w:val="00D93F5D"/>
    <w:rsid w:val="00D93FE1"/>
    <w:rsid w:val="00D940FE"/>
    <w:rsid w:val="00D9465D"/>
    <w:rsid w:val="00D9469E"/>
    <w:rsid w:val="00D94B09"/>
    <w:rsid w:val="00D94E4A"/>
    <w:rsid w:val="00D95008"/>
    <w:rsid w:val="00D95362"/>
    <w:rsid w:val="00D956CA"/>
    <w:rsid w:val="00D95779"/>
    <w:rsid w:val="00D95B3B"/>
    <w:rsid w:val="00D95C12"/>
    <w:rsid w:val="00D95DBC"/>
    <w:rsid w:val="00D95DCA"/>
    <w:rsid w:val="00D95E32"/>
    <w:rsid w:val="00D962B0"/>
    <w:rsid w:val="00D96425"/>
    <w:rsid w:val="00D96856"/>
    <w:rsid w:val="00D96861"/>
    <w:rsid w:val="00D9686A"/>
    <w:rsid w:val="00D96D46"/>
    <w:rsid w:val="00D97369"/>
    <w:rsid w:val="00D973AF"/>
    <w:rsid w:val="00D974A8"/>
    <w:rsid w:val="00D974B4"/>
    <w:rsid w:val="00D9762B"/>
    <w:rsid w:val="00D97BB4"/>
    <w:rsid w:val="00D97E59"/>
    <w:rsid w:val="00DA021A"/>
    <w:rsid w:val="00DA03BB"/>
    <w:rsid w:val="00DA04CF"/>
    <w:rsid w:val="00DA04EE"/>
    <w:rsid w:val="00DA1856"/>
    <w:rsid w:val="00DA1D91"/>
    <w:rsid w:val="00DA2082"/>
    <w:rsid w:val="00DA21E3"/>
    <w:rsid w:val="00DA22DA"/>
    <w:rsid w:val="00DA29FB"/>
    <w:rsid w:val="00DA2B56"/>
    <w:rsid w:val="00DA2C18"/>
    <w:rsid w:val="00DA2FD6"/>
    <w:rsid w:val="00DA34FB"/>
    <w:rsid w:val="00DA3B7C"/>
    <w:rsid w:val="00DA455A"/>
    <w:rsid w:val="00DA45C3"/>
    <w:rsid w:val="00DA4671"/>
    <w:rsid w:val="00DA48EA"/>
    <w:rsid w:val="00DA4B26"/>
    <w:rsid w:val="00DA4FF0"/>
    <w:rsid w:val="00DA5497"/>
    <w:rsid w:val="00DA63A1"/>
    <w:rsid w:val="00DA65ED"/>
    <w:rsid w:val="00DA66F1"/>
    <w:rsid w:val="00DA6771"/>
    <w:rsid w:val="00DA6905"/>
    <w:rsid w:val="00DA69C2"/>
    <w:rsid w:val="00DA6C99"/>
    <w:rsid w:val="00DA6E35"/>
    <w:rsid w:val="00DA6E64"/>
    <w:rsid w:val="00DA7CA1"/>
    <w:rsid w:val="00DA7D14"/>
    <w:rsid w:val="00DA7F98"/>
    <w:rsid w:val="00DB05DD"/>
    <w:rsid w:val="00DB0A3D"/>
    <w:rsid w:val="00DB1280"/>
    <w:rsid w:val="00DB1299"/>
    <w:rsid w:val="00DB1317"/>
    <w:rsid w:val="00DB1587"/>
    <w:rsid w:val="00DB1C9A"/>
    <w:rsid w:val="00DB1F53"/>
    <w:rsid w:val="00DB28C0"/>
    <w:rsid w:val="00DB2B8E"/>
    <w:rsid w:val="00DB2F25"/>
    <w:rsid w:val="00DB36B8"/>
    <w:rsid w:val="00DB383F"/>
    <w:rsid w:val="00DB3977"/>
    <w:rsid w:val="00DB3E32"/>
    <w:rsid w:val="00DB4084"/>
    <w:rsid w:val="00DB4111"/>
    <w:rsid w:val="00DB42BB"/>
    <w:rsid w:val="00DB4619"/>
    <w:rsid w:val="00DB4703"/>
    <w:rsid w:val="00DB4CFC"/>
    <w:rsid w:val="00DB4D57"/>
    <w:rsid w:val="00DB519A"/>
    <w:rsid w:val="00DB52C1"/>
    <w:rsid w:val="00DB538F"/>
    <w:rsid w:val="00DB5452"/>
    <w:rsid w:val="00DB5677"/>
    <w:rsid w:val="00DB568F"/>
    <w:rsid w:val="00DB5988"/>
    <w:rsid w:val="00DB5D00"/>
    <w:rsid w:val="00DB5E58"/>
    <w:rsid w:val="00DB6C41"/>
    <w:rsid w:val="00DB7573"/>
    <w:rsid w:val="00DB7691"/>
    <w:rsid w:val="00DB7B32"/>
    <w:rsid w:val="00DB7D71"/>
    <w:rsid w:val="00DC061B"/>
    <w:rsid w:val="00DC07DC"/>
    <w:rsid w:val="00DC0A9F"/>
    <w:rsid w:val="00DC0D30"/>
    <w:rsid w:val="00DC0EFF"/>
    <w:rsid w:val="00DC13A1"/>
    <w:rsid w:val="00DC1E59"/>
    <w:rsid w:val="00DC2110"/>
    <w:rsid w:val="00DC2872"/>
    <w:rsid w:val="00DC2B31"/>
    <w:rsid w:val="00DC2BCF"/>
    <w:rsid w:val="00DC2F40"/>
    <w:rsid w:val="00DC316F"/>
    <w:rsid w:val="00DC3646"/>
    <w:rsid w:val="00DC3834"/>
    <w:rsid w:val="00DC3F5E"/>
    <w:rsid w:val="00DC3FF6"/>
    <w:rsid w:val="00DC483B"/>
    <w:rsid w:val="00DC4D01"/>
    <w:rsid w:val="00DC4E37"/>
    <w:rsid w:val="00DC4FBD"/>
    <w:rsid w:val="00DC5CA7"/>
    <w:rsid w:val="00DC6138"/>
    <w:rsid w:val="00DC68B1"/>
    <w:rsid w:val="00DC69D9"/>
    <w:rsid w:val="00DC6D17"/>
    <w:rsid w:val="00DC6D6C"/>
    <w:rsid w:val="00DC70A4"/>
    <w:rsid w:val="00DC7218"/>
    <w:rsid w:val="00DC7A42"/>
    <w:rsid w:val="00DC7B27"/>
    <w:rsid w:val="00DC7E1F"/>
    <w:rsid w:val="00DD05E4"/>
    <w:rsid w:val="00DD0683"/>
    <w:rsid w:val="00DD122B"/>
    <w:rsid w:val="00DD1303"/>
    <w:rsid w:val="00DD13BA"/>
    <w:rsid w:val="00DD1A17"/>
    <w:rsid w:val="00DD1B21"/>
    <w:rsid w:val="00DD1E1D"/>
    <w:rsid w:val="00DD2241"/>
    <w:rsid w:val="00DD234E"/>
    <w:rsid w:val="00DD2721"/>
    <w:rsid w:val="00DD2BAD"/>
    <w:rsid w:val="00DD33A3"/>
    <w:rsid w:val="00DD34C7"/>
    <w:rsid w:val="00DD37DC"/>
    <w:rsid w:val="00DD3843"/>
    <w:rsid w:val="00DD3A7E"/>
    <w:rsid w:val="00DD3DB9"/>
    <w:rsid w:val="00DD4A1F"/>
    <w:rsid w:val="00DD4AE9"/>
    <w:rsid w:val="00DD4B53"/>
    <w:rsid w:val="00DD4E44"/>
    <w:rsid w:val="00DD514C"/>
    <w:rsid w:val="00DD53BF"/>
    <w:rsid w:val="00DD56CB"/>
    <w:rsid w:val="00DD6212"/>
    <w:rsid w:val="00DD6862"/>
    <w:rsid w:val="00DD6FBD"/>
    <w:rsid w:val="00DD79C7"/>
    <w:rsid w:val="00DD79C9"/>
    <w:rsid w:val="00DE047C"/>
    <w:rsid w:val="00DE04BB"/>
    <w:rsid w:val="00DE06C3"/>
    <w:rsid w:val="00DE0A85"/>
    <w:rsid w:val="00DE0B5B"/>
    <w:rsid w:val="00DE0C08"/>
    <w:rsid w:val="00DE0FCB"/>
    <w:rsid w:val="00DE1695"/>
    <w:rsid w:val="00DE1726"/>
    <w:rsid w:val="00DE25CA"/>
    <w:rsid w:val="00DE2611"/>
    <w:rsid w:val="00DE2CF7"/>
    <w:rsid w:val="00DE2E2D"/>
    <w:rsid w:val="00DE32CE"/>
    <w:rsid w:val="00DE33B2"/>
    <w:rsid w:val="00DE33E9"/>
    <w:rsid w:val="00DE361D"/>
    <w:rsid w:val="00DE3636"/>
    <w:rsid w:val="00DE3A9D"/>
    <w:rsid w:val="00DE3B83"/>
    <w:rsid w:val="00DE3FAA"/>
    <w:rsid w:val="00DE41A2"/>
    <w:rsid w:val="00DE4820"/>
    <w:rsid w:val="00DE5359"/>
    <w:rsid w:val="00DE53B6"/>
    <w:rsid w:val="00DE5539"/>
    <w:rsid w:val="00DE55A5"/>
    <w:rsid w:val="00DE5E2B"/>
    <w:rsid w:val="00DE61A2"/>
    <w:rsid w:val="00DE629C"/>
    <w:rsid w:val="00DE69DD"/>
    <w:rsid w:val="00DE6D08"/>
    <w:rsid w:val="00DE6D81"/>
    <w:rsid w:val="00DE6EEB"/>
    <w:rsid w:val="00DE700C"/>
    <w:rsid w:val="00DE7314"/>
    <w:rsid w:val="00DE760D"/>
    <w:rsid w:val="00DE7749"/>
    <w:rsid w:val="00DE7AE5"/>
    <w:rsid w:val="00DE7C29"/>
    <w:rsid w:val="00DE7F8F"/>
    <w:rsid w:val="00DF0206"/>
    <w:rsid w:val="00DF04AA"/>
    <w:rsid w:val="00DF0B49"/>
    <w:rsid w:val="00DF0D5A"/>
    <w:rsid w:val="00DF0EB0"/>
    <w:rsid w:val="00DF1A72"/>
    <w:rsid w:val="00DF1AA8"/>
    <w:rsid w:val="00DF1BF5"/>
    <w:rsid w:val="00DF1C24"/>
    <w:rsid w:val="00DF1FAB"/>
    <w:rsid w:val="00DF20AA"/>
    <w:rsid w:val="00DF2194"/>
    <w:rsid w:val="00DF223F"/>
    <w:rsid w:val="00DF2411"/>
    <w:rsid w:val="00DF2913"/>
    <w:rsid w:val="00DF29E9"/>
    <w:rsid w:val="00DF2BD0"/>
    <w:rsid w:val="00DF2D7C"/>
    <w:rsid w:val="00DF2E2A"/>
    <w:rsid w:val="00DF2E30"/>
    <w:rsid w:val="00DF2E4D"/>
    <w:rsid w:val="00DF3741"/>
    <w:rsid w:val="00DF3F16"/>
    <w:rsid w:val="00DF4717"/>
    <w:rsid w:val="00DF482D"/>
    <w:rsid w:val="00DF4E55"/>
    <w:rsid w:val="00DF4ED8"/>
    <w:rsid w:val="00DF5537"/>
    <w:rsid w:val="00DF5D89"/>
    <w:rsid w:val="00DF6610"/>
    <w:rsid w:val="00DF6A78"/>
    <w:rsid w:val="00DF6B52"/>
    <w:rsid w:val="00DF6B62"/>
    <w:rsid w:val="00DF70FE"/>
    <w:rsid w:val="00DF7230"/>
    <w:rsid w:val="00DF745D"/>
    <w:rsid w:val="00DF7899"/>
    <w:rsid w:val="00DF798E"/>
    <w:rsid w:val="00DF79D8"/>
    <w:rsid w:val="00DF7CE8"/>
    <w:rsid w:val="00DF7E35"/>
    <w:rsid w:val="00E000FB"/>
    <w:rsid w:val="00E00778"/>
    <w:rsid w:val="00E00D2F"/>
    <w:rsid w:val="00E013DF"/>
    <w:rsid w:val="00E0145C"/>
    <w:rsid w:val="00E01903"/>
    <w:rsid w:val="00E01A6C"/>
    <w:rsid w:val="00E022CF"/>
    <w:rsid w:val="00E023F8"/>
    <w:rsid w:val="00E026B1"/>
    <w:rsid w:val="00E02C3C"/>
    <w:rsid w:val="00E02EF5"/>
    <w:rsid w:val="00E0312A"/>
    <w:rsid w:val="00E034EC"/>
    <w:rsid w:val="00E0360C"/>
    <w:rsid w:val="00E03D81"/>
    <w:rsid w:val="00E04090"/>
    <w:rsid w:val="00E04187"/>
    <w:rsid w:val="00E04765"/>
    <w:rsid w:val="00E04771"/>
    <w:rsid w:val="00E04B6D"/>
    <w:rsid w:val="00E04C5E"/>
    <w:rsid w:val="00E04E85"/>
    <w:rsid w:val="00E04F28"/>
    <w:rsid w:val="00E05AC1"/>
    <w:rsid w:val="00E05C88"/>
    <w:rsid w:val="00E05D39"/>
    <w:rsid w:val="00E05EA2"/>
    <w:rsid w:val="00E06843"/>
    <w:rsid w:val="00E06B76"/>
    <w:rsid w:val="00E06D10"/>
    <w:rsid w:val="00E06E93"/>
    <w:rsid w:val="00E0753D"/>
    <w:rsid w:val="00E07ACE"/>
    <w:rsid w:val="00E07F51"/>
    <w:rsid w:val="00E07F94"/>
    <w:rsid w:val="00E1001D"/>
    <w:rsid w:val="00E105AF"/>
    <w:rsid w:val="00E10D94"/>
    <w:rsid w:val="00E10E2F"/>
    <w:rsid w:val="00E10F0F"/>
    <w:rsid w:val="00E110AE"/>
    <w:rsid w:val="00E111C9"/>
    <w:rsid w:val="00E11D12"/>
    <w:rsid w:val="00E11DE4"/>
    <w:rsid w:val="00E122BF"/>
    <w:rsid w:val="00E1232F"/>
    <w:rsid w:val="00E129A7"/>
    <w:rsid w:val="00E12F98"/>
    <w:rsid w:val="00E1312D"/>
    <w:rsid w:val="00E134A8"/>
    <w:rsid w:val="00E1362F"/>
    <w:rsid w:val="00E13C25"/>
    <w:rsid w:val="00E13DF0"/>
    <w:rsid w:val="00E13F30"/>
    <w:rsid w:val="00E14195"/>
    <w:rsid w:val="00E14384"/>
    <w:rsid w:val="00E145D9"/>
    <w:rsid w:val="00E14779"/>
    <w:rsid w:val="00E14ADB"/>
    <w:rsid w:val="00E14BC7"/>
    <w:rsid w:val="00E14F9B"/>
    <w:rsid w:val="00E15714"/>
    <w:rsid w:val="00E15A12"/>
    <w:rsid w:val="00E15F26"/>
    <w:rsid w:val="00E15FA2"/>
    <w:rsid w:val="00E1642E"/>
    <w:rsid w:val="00E16446"/>
    <w:rsid w:val="00E168D9"/>
    <w:rsid w:val="00E169ED"/>
    <w:rsid w:val="00E16CB7"/>
    <w:rsid w:val="00E16D7A"/>
    <w:rsid w:val="00E16E5D"/>
    <w:rsid w:val="00E176C0"/>
    <w:rsid w:val="00E2029F"/>
    <w:rsid w:val="00E203B3"/>
    <w:rsid w:val="00E2057B"/>
    <w:rsid w:val="00E205D6"/>
    <w:rsid w:val="00E20912"/>
    <w:rsid w:val="00E20D15"/>
    <w:rsid w:val="00E20F51"/>
    <w:rsid w:val="00E20FFF"/>
    <w:rsid w:val="00E21099"/>
    <w:rsid w:val="00E211B8"/>
    <w:rsid w:val="00E212DE"/>
    <w:rsid w:val="00E213CB"/>
    <w:rsid w:val="00E216BD"/>
    <w:rsid w:val="00E22428"/>
    <w:rsid w:val="00E22908"/>
    <w:rsid w:val="00E2293B"/>
    <w:rsid w:val="00E22983"/>
    <w:rsid w:val="00E22FAB"/>
    <w:rsid w:val="00E2340D"/>
    <w:rsid w:val="00E23E21"/>
    <w:rsid w:val="00E23FF7"/>
    <w:rsid w:val="00E24056"/>
    <w:rsid w:val="00E241BD"/>
    <w:rsid w:val="00E242B3"/>
    <w:rsid w:val="00E2458C"/>
    <w:rsid w:val="00E247E5"/>
    <w:rsid w:val="00E24D42"/>
    <w:rsid w:val="00E24EA5"/>
    <w:rsid w:val="00E254BA"/>
    <w:rsid w:val="00E25881"/>
    <w:rsid w:val="00E25B83"/>
    <w:rsid w:val="00E25C69"/>
    <w:rsid w:val="00E2607B"/>
    <w:rsid w:val="00E262B6"/>
    <w:rsid w:val="00E2671D"/>
    <w:rsid w:val="00E26B1C"/>
    <w:rsid w:val="00E26DA3"/>
    <w:rsid w:val="00E26F51"/>
    <w:rsid w:val="00E270D9"/>
    <w:rsid w:val="00E2729A"/>
    <w:rsid w:val="00E27577"/>
    <w:rsid w:val="00E27A58"/>
    <w:rsid w:val="00E27B7F"/>
    <w:rsid w:val="00E30089"/>
    <w:rsid w:val="00E300DD"/>
    <w:rsid w:val="00E3024F"/>
    <w:rsid w:val="00E3049E"/>
    <w:rsid w:val="00E304AB"/>
    <w:rsid w:val="00E30AC2"/>
    <w:rsid w:val="00E30B28"/>
    <w:rsid w:val="00E30DF8"/>
    <w:rsid w:val="00E30F5C"/>
    <w:rsid w:val="00E311E4"/>
    <w:rsid w:val="00E317BB"/>
    <w:rsid w:val="00E317BC"/>
    <w:rsid w:val="00E32047"/>
    <w:rsid w:val="00E32418"/>
    <w:rsid w:val="00E32760"/>
    <w:rsid w:val="00E32EE7"/>
    <w:rsid w:val="00E33093"/>
    <w:rsid w:val="00E3309C"/>
    <w:rsid w:val="00E3324D"/>
    <w:rsid w:val="00E3334F"/>
    <w:rsid w:val="00E33408"/>
    <w:rsid w:val="00E33479"/>
    <w:rsid w:val="00E335BD"/>
    <w:rsid w:val="00E33A8C"/>
    <w:rsid w:val="00E33C66"/>
    <w:rsid w:val="00E33E44"/>
    <w:rsid w:val="00E33E76"/>
    <w:rsid w:val="00E34144"/>
    <w:rsid w:val="00E3436D"/>
    <w:rsid w:val="00E3456D"/>
    <w:rsid w:val="00E346CF"/>
    <w:rsid w:val="00E34843"/>
    <w:rsid w:val="00E348F3"/>
    <w:rsid w:val="00E3506F"/>
    <w:rsid w:val="00E355A3"/>
    <w:rsid w:val="00E3570A"/>
    <w:rsid w:val="00E35765"/>
    <w:rsid w:val="00E357AB"/>
    <w:rsid w:val="00E35877"/>
    <w:rsid w:val="00E35BF9"/>
    <w:rsid w:val="00E35C82"/>
    <w:rsid w:val="00E3603E"/>
    <w:rsid w:val="00E361A2"/>
    <w:rsid w:val="00E361A8"/>
    <w:rsid w:val="00E36251"/>
    <w:rsid w:val="00E366A5"/>
    <w:rsid w:val="00E3683F"/>
    <w:rsid w:val="00E371BA"/>
    <w:rsid w:val="00E3722A"/>
    <w:rsid w:val="00E374A2"/>
    <w:rsid w:val="00E37786"/>
    <w:rsid w:val="00E37D4A"/>
    <w:rsid w:val="00E400B6"/>
    <w:rsid w:val="00E404A6"/>
    <w:rsid w:val="00E4057A"/>
    <w:rsid w:val="00E40A84"/>
    <w:rsid w:val="00E40C77"/>
    <w:rsid w:val="00E4126E"/>
    <w:rsid w:val="00E4157C"/>
    <w:rsid w:val="00E41656"/>
    <w:rsid w:val="00E4167B"/>
    <w:rsid w:val="00E41DF1"/>
    <w:rsid w:val="00E41ED4"/>
    <w:rsid w:val="00E42925"/>
    <w:rsid w:val="00E430D2"/>
    <w:rsid w:val="00E43138"/>
    <w:rsid w:val="00E43355"/>
    <w:rsid w:val="00E43372"/>
    <w:rsid w:val="00E43461"/>
    <w:rsid w:val="00E43FB0"/>
    <w:rsid w:val="00E43FBA"/>
    <w:rsid w:val="00E44198"/>
    <w:rsid w:val="00E443A9"/>
    <w:rsid w:val="00E444AE"/>
    <w:rsid w:val="00E4451F"/>
    <w:rsid w:val="00E4472B"/>
    <w:rsid w:val="00E447F7"/>
    <w:rsid w:val="00E44DBE"/>
    <w:rsid w:val="00E45497"/>
    <w:rsid w:val="00E45854"/>
    <w:rsid w:val="00E45D6E"/>
    <w:rsid w:val="00E45E12"/>
    <w:rsid w:val="00E45F92"/>
    <w:rsid w:val="00E46167"/>
    <w:rsid w:val="00E464D6"/>
    <w:rsid w:val="00E465A4"/>
    <w:rsid w:val="00E46F93"/>
    <w:rsid w:val="00E4709E"/>
    <w:rsid w:val="00E47131"/>
    <w:rsid w:val="00E4763D"/>
    <w:rsid w:val="00E47795"/>
    <w:rsid w:val="00E47C14"/>
    <w:rsid w:val="00E47DD9"/>
    <w:rsid w:val="00E47E0B"/>
    <w:rsid w:val="00E501E0"/>
    <w:rsid w:val="00E5034B"/>
    <w:rsid w:val="00E50545"/>
    <w:rsid w:val="00E508AF"/>
    <w:rsid w:val="00E50ADE"/>
    <w:rsid w:val="00E51006"/>
    <w:rsid w:val="00E51040"/>
    <w:rsid w:val="00E513F8"/>
    <w:rsid w:val="00E51505"/>
    <w:rsid w:val="00E51A69"/>
    <w:rsid w:val="00E51BA4"/>
    <w:rsid w:val="00E51EFD"/>
    <w:rsid w:val="00E5204F"/>
    <w:rsid w:val="00E52495"/>
    <w:rsid w:val="00E52917"/>
    <w:rsid w:val="00E530C4"/>
    <w:rsid w:val="00E53144"/>
    <w:rsid w:val="00E53260"/>
    <w:rsid w:val="00E5340D"/>
    <w:rsid w:val="00E535AC"/>
    <w:rsid w:val="00E53AEC"/>
    <w:rsid w:val="00E53FB6"/>
    <w:rsid w:val="00E5408D"/>
    <w:rsid w:val="00E542D2"/>
    <w:rsid w:val="00E5433E"/>
    <w:rsid w:val="00E543FE"/>
    <w:rsid w:val="00E54419"/>
    <w:rsid w:val="00E54CBD"/>
    <w:rsid w:val="00E55489"/>
    <w:rsid w:val="00E55576"/>
    <w:rsid w:val="00E55DC4"/>
    <w:rsid w:val="00E560E3"/>
    <w:rsid w:val="00E560FE"/>
    <w:rsid w:val="00E5617B"/>
    <w:rsid w:val="00E561CB"/>
    <w:rsid w:val="00E562E9"/>
    <w:rsid w:val="00E56474"/>
    <w:rsid w:val="00E56D19"/>
    <w:rsid w:val="00E57423"/>
    <w:rsid w:val="00E574A7"/>
    <w:rsid w:val="00E5795E"/>
    <w:rsid w:val="00E57C4A"/>
    <w:rsid w:val="00E57D65"/>
    <w:rsid w:val="00E600DD"/>
    <w:rsid w:val="00E602E5"/>
    <w:rsid w:val="00E60334"/>
    <w:rsid w:val="00E603FA"/>
    <w:rsid w:val="00E60C5B"/>
    <w:rsid w:val="00E60DF0"/>
    <w:rsid w:val="00E60E08"/>
    <w:rsid w:val="00E61B7F"/>
    <w:rsid w:val="00E62079"/>
    <w:rsid w:val="00E622FD"/>
    <w:rsid w:val="00E62560"/>
    <w:rsid w:val="00E6261A"/>
    <w:rsid w:val="00E62626"/>
    <w:rsid w:val="00E62732"/>
    <w:rsid w:val="00E629C5"/>
    <w:rsid w:val="00E62B08"/>
    <w:rsid w:val="00E62B28"/>
    <w:rsid w:val="00E62BC8"/>
    <w:rsid w:val="00E62DF4"/>
    <w:rsid w:val="00E63308"/>
    <w:rsid w:val="00E636CE"/>
    <w:rsid w:val="00E63793"/>
    <w:rsid w:val="00E63C13"/>
    <w:rsid w:val="00E63DE0"/>
    <w:rsid w:val="00E63EDD"/>
    <w:rsid w:val="00E6401A"/>
    <w:rsid w:val="00E6487F"/>
    <w:rsid w:val="00E64BFE"/>
    <w:rsid w:val="00E650C4"/>
    <w:rsid w:val="00E659AD"/>
    <w:rsid w:val="00E65C07"/>
    <w:rsid w:val="00E65DC7"/>
    <w:rsid w:val="00E65F64"/>
    <w:rsid w:val="00E66203"/>
    <w:rsid w:val="00E66551"/>
    <w:rsid w:val="00E668F6"/>
    <w:rsid w:val="00E66CC0"/>
    <w:rsid w:val="00E66CF6"/>
    <w:rsid w:val="00E66D78"/>
    <w:rsid w:val="00E66EFD"/>
    <w:rsid w:val="00E670FA"/>
    <w:rsid w:val="00E67C2D"/>
    <w:rsid w:val="00E67D54"/>
    <w:rsid w:val="00E67E01"/>
    <w:rsid w:val="00E70522"/>
    <w:rsid w:val="00E70592"/>
    <w:rsid w:val="00E70DB7"/>
    <w:rsid w:val="00E71120"/>
    <w:rsid w:val="00E71B53"/>
    <w:rsid w:val="00E71C7C"/>
    <w:rsid w:val="00E71C8A"/>
    <w:rsid w:val="00E71EFF"/>
    <w:rsid w:val="00E71F29"/>
    <w:rsid w:val="00E72812"/>
    <w:rsid w:val="00E72874"/>
    <w:rsid w:val="00E72D2C"/>
    <w:rsid w:val="00E73000"/>
    <w:rsid w:val="00E73091"/>
    <w:rsid w:val="00E732CF"/>
    <w:rsid w:val="00E737BE"/>
    <w:rsid w:val="00E73A30"/>
    <w:rsid w:val="00E73A69"/>
    <w:rsid w:val="00E73D1D"/>
    <w:rsid w:val="00E73FD9"/>
    <w:rsid w:val="00E74111"/>
    <w:rsid w:val="00E74285"/>
    <w:rsid w:val="00E744ED"/>
    <w:rsid w:val="00E74652"/>
    <w:rsid w:val="00E748C7"/>
    <w:rsid w:val="00E74949"/>
    <w:rsid w:val="00E749B5"/>
    <w:rsid w:val="00E74A96"/>
    <w:rsid w:val="00E74D88"/>
    <w:rsid w:val="00E74FD6"/>
    <w:rsid w:val="00E7512A"/>
    <w:rsid w:val="00E75280"/>
    <w:rsid w:val="00E7573B"/>
    <w:rsid w:val="00E7581E"/>
    <w:rsid w:val="00E75ACD"/>
    <w:rsid w:val="00E75B77"/>
    <w:rsid w:val="00E76CCE"/>
    <w:rsid w:val="00E76D8E"/>
    <w:rsid w:val="00E76D98"/>
    <w:rsid w:val="00E76EF1"/>
    <w:rsid w:val="00E779BB"/>
    <w:rsid w:val="00E77ADA"/>
    <w:rsid w:val="00E77E73"/>
    <w:rsid w:val="00E804FA"/>
    <w:rsid w:val="00E80691"/>
    <w:rsid w:val="00E8073E"/>
    <w:rsid w:val="00E808BC"/>
    <w:rsid w:val="00E80A77"/>
    <w:rsid w:val="00E80F72"/>
    <w:rsid w:val="00E80FF6"/>
    <w:rsid w:val="00E81213"/>
    <w:rsid w:val="00E81545"/>
    <w:rsid w:val="00E81A73"/>
    <w:rsid w:val="00E81C57"/>
    <w:rsid w:val="00E81CC1"/>
    <w:rsid w:val="00E81D62"/>
    <w:rsid w:val="00E81DBA"/>
    <w:rsid w:val="00E81E6C"/>
    <w:rsid w:val="00E82015"/>
    <w:rsid w:val="00E8201D"/>
    <w:rsid w:val="00E8257E"/>
    <w:rsid w:val="00E82B38"/>
    <w:rsid w:val="00E82CB8"/>
    <w:rsid w:val="00E82EBD"/>
    <w:rsid w:val="00E835F8"/>
    <w:rsid w:val="00E8383F"/>
    <w:rsid w:val="00E838AB"/>
    <w:rsid w:val="00E83A07"/>
    <w:rsid w:val="00E83B09"/>
    <w:rsid w:val="00E83F44"/>
    <w:rsid w:val="00E8407D"/>
    <w:rsid w:val="00E847B2"/>
    <w:rsid w:val="00E848B1"/>
    <w:rsid w:val="00E84AAD"/>
    <w:rsid w:val="00E84B02"/>
    <w:rsid w:val="00E84DEF"/>
    <w:rsid w:val="00E85043"/>
    <w:rsid w:val="00E850EB"/>
    <w:rsid w:val="00E85196"/>
    <w:rsid w:val="00E85609"/>
    <w:rsid w:val="00E858AD"/>
    <w:rsid w:val="00E859C1"/>
    <w:rsid w:val="00E85D25"/>
    <w:rsid w:val="00E85E19"/>
    <w:rsid w:val="00E85E8C"/>
    <w:rsid w:val="00E85E98"/>
    <w:rsid w:val="00E85E9E"/>
    <w:rsid w:val="00E862C1"/>
    <w:rsid w:val="00E86797"/>
    <w:rsid w:val="00E86C34"/>
    <w:rsid w:val="00E86CB3"/>
    <w:rsid w:val="00E86D78"/>
    <w:rsid w:val="00E86E2E"/>
    <w:rsid w:val="00E8730F"/>
    <w:rsid w:val="00E87887"/>
    <w:rsid w:val="00E879F7"/>
    <w:rsid w:val="00E87B86"/>
    <w:rsid w:val="00E87DA2"/>
    <w:rsid w:val="00E9021F"/>
    <w:rsid w:val="00E91038"/>
    <w:rsid w:val="00E9150D"/>
    <w:rsid w:val="00E91525"/>
    <w:rsid w:val="00E92025"/>
    <w:rsid w:val="00E920A9"/>
    <w:rsid w:val="00E920E7"/>
    <w:rsid w:val="00E922FC"/>
    <w:rsid w:val="00E9256F"/>
    <w:rsid w:val="00E92878"/>
    <w:rsid w:val="00E92A47"/>
    <w:rsid w:val="00E93751"/>
    <w:rsid w:val="00E93987"/>
    <w:rsid w:val="00E93F41"/>
    <w:rsid w:val="00E9455F"/>
    <w:rsid w:val="00E94D2A"/>
    <w:rsid w:val="00E94D30"/>
    <w:rsid w:val="00E95238"/>
    <w:rsid w:val="00E952E6"/>
    <w:rsid w:val="00E9545D"/>
    <w:rsid w:val="00E95721"/>
    <w:rsid w:val="00E95765"/>
    <w:rsid w:val="00E95A4C"/>
    <w:rsid w:val="00E95CEC"/>
    <w:rsid w:val="00E95DDD"/>
    <w:rsid w:val="00E96216"/>
    <w:rsid w:val="00E9694B"/>
    <w:rsid w:val="00E96A2F"/>
    <w:rsid w:val="00E97671"/>
    <w:rsid w:val="00E97E5A"/>
    <w:rsid w:val="00E97EC6"/>
    <w:rsid w:val="00EA0388"/>
    <w:rsid w:val="00EA045D"/>
    <w:rsid w:val="00EA0773"/>
    <w:rsid w:val="00EA0838"/>
    <w:rsid w:val="00EA08B8"/>
    <w:rsid w:val="00EA0AB3"/>
    <w:rsid w:val="00EA0D61"/>
    <w:rsid w:val="00EA0E2D"/>
    <w:rsid w:val="00EA176C"/>
    <w:rsid w:val="00EA1F8B"/>
    <w:rsid w:val="00EA2016"/>
    <w:rsid w:val="00EA2991"/>
    <w:rsid w:val="00EA3210"/>
    <w:rsid w:val="00EA3248"/>
    <w:rsid w:val="00EA3894"/>
    <w:rsid w:val="00EA3A6D"/>
    <w:rsid w:val="00EA45AE"/>
    <w:rsid w:val="00EA463A"/>
    <w:rsid w:val="00EA4A4A"/>
    <w:rsid w:val="00EA4B49"/>
    <w:rsid w:val="00EA61FA"/>
    <w:rsid w:val="00EA6258"/>
    <w:rsid w:val="00EA6496"/>
    <w:rsid w:val="00EA6AD4"/>
    <w:rsid w:val="00EA6CBF"/>
    <w:rsid w:val="00EA6F69"/>
    <w:rsid w:val="00EA7039"/>
    <w:rsid w:val="00EA72C2"/>
    <w:rsid w:val="00EA75D3"/>
    <w:rsid w:val="00EA7619"/>
    <w:rsid w:val="00EA7B09"/>
    <w:rsid w:val="00EB02E2"/>
    <w:rsid w:val="00EB03A7"/>
    <w:rsid w:val="00EB045E"/>
    <w:rsid w:val="00EB1190"/>
    <w:rsid w:val="00EB121B"/>
    <w:rsid w:val="00EB15BD"/>
    <w:rsid w:val="00EB1A12"/>
    <w:rsid w:val="00EB1C4F"/>
    <w:rsid w:val="00EB1CF8"/>
    <w:rsid w:val="00EB1DCF"/>
    <w:rsid w:val="00EB1E7A"/>
    <w:rsid w:val="00EB20E3"/>
    <w:rsid w:val="00EB2176"/>
    <w:rsid w:val="00EB24FC"/>
    <w:rsid w:val="00EB25B9"/>
    <w:rsid w:val="00EB25ED"/>
    <w:rsid w:val="00EB29E8"/>
    <w:rsid w:val="00EB31F6"/>
    <w:rsid w:val="00EB3303"/>
    <w:rsid w:val="00EB3550"/>
    <w:rsid w:val="00EB3660"/>
    <w:rsid w:val="00EB3749"/>
    <w:rsid w:val="00EB375B"/>
    <w:rsid w:val="00EB3772"/>
    <w:rsid w:val="00EB37C2"/>
    <w:rsid w:val="00EB389C"/>
    <w:rsid w:val="00EB390E"/>
    <w:rsid w:val="00EB3B5F"/>
    <w:rsid w:val="00EB3BE4"/>
    <w:rsid w:val="00EB40BE"/>
    <w:rsid w:val="00EB4373"/>
    <w:rsid w:val="00EB43CF"/>
    <w:rsid w:val="00EB469D"/>
    <w:rsid w:val="00EB47B8"/>
    <w:rsid w:val="00EB4A31"/>
    <w:rsid w:val="00EB4ADD"/>
    <w:rsid w:val="00EB541F"/>
    <w:rsid w:val="00EB597B"/>
    <w:rsid w:val="00EB59F5"/>
    <w:rsid w:val="00EB5AE7"/>
    <w:rsid w:val="00EB5CF6"/>
    <w:rsid w:val="00EB5ED4"/>
    <w:rsid w:val="00EB6070"/>
    <w:rsid w:val="00EB6708"/>
    <w:rsid w:val="00EB6D98"/>
    <w:rsid w:val="00EB6DD5"/>
    <w:rsid w:val="00EB6E76"/>
    <w:rsid w:val="00EB70E4"/>
    <w:rsid w:val="00EB7340"/>
    <w:rsid w:val="00EB748B"/>
    <w:rsid w:val="00EB7753"/>
    <w:rsid w:val="00EB7F7B"/>
    <w:rsid w:val="00EB7FF0"/>
    <w:rsid w:val="00EC0C1A"/>
    <w:rsid w:val="00EC0CED"/>
    <w:rsid w:val="00EC12AB"/>
    <w:rsid w:val="00EC12F8"/>
    <w:rsid w:val="00EC145D"/>
    <w:rsid w:val="00EC15E0"/>
    <w:rsid w:val="00EC1BE3"/>
    <w:rsid w:val="00EC2068"/>
    <w:rsid w:val="00EC20B5"/>
    <w:rsid w:val="00EC2122"/>
    <w:rsid w:val="00EC294E"/>
    <w:rsid w:val="00EC2A12"/>
    <w:rsid w:val="00EC355B"/>
    <w:rsid w:val="00EC3B12"/>
    <w:rsid w:val="00EC3F62"/>
    <w:rsid w:val="00EC5420"/>
    <w:rsid w:val="00EC5DC1"/>
    <w:rsid w:val="00EC5EE8"/>
    <w:rsid w:val="00EC6192"/>
    <w:rsid w:val="00EC61F2"/>
    <w:rsid w:val="00EC6604"/>
    <w:rsid w:val="00EC6E11"/>
    <w:rsid w:val="00EC73D1"/>
    <w:rsid w:val="00EC76AE"/>
    <w:rsid w:val="00EC7704"/>
    <w:rsid w:val="00EC7827"/>
    <w:rsid w:val="00EC7BC1"/>
    <w:rsid w:val="00EC7CDF"/>
    <w:rsid w:val="00ED0047"/>
    <w:rsid w:val="00ED0118"/>
    <w:rsid w:val="00ED0B3C"/>
    <w:rsid w:val="00ED0EE4"/>
    <w:rsid w:val="00ED1509"/>
    <w:rsid w:val="00ED158A"/>
    <w:rsid w:val="00ED1D14"/>
    <w:rsid w:val="00ED1E81"/>
    <w:rsid w:val="00ED207D"/>
    <w:rsid w:val="00ED25FB"/>
    <w:rsid w:val="00ED2F35"/>
    <w:rsid w:val="00ED3135"/>
    <w:rsid w:val="00ED349E"/>
    <w:rsid w:val="00ED361D"/>
    <w:rsid w:val="00ED421E"/>
    <w:rsid w:val="00ED45BD"/>
    <w:rsid w:val="00ED5057"/>
    <w:rsid w:val="00ED542E"/>
    <w:rsid w:val="00ED58EA"/>
    <w:rsid w:val="00ED5C3A"/>
    <w:rsid w:val="00ED5C55"/>
    <w:rsid w:val="00ED5F0E"/>
    <w:rsid w:val="00ED64CC"/>
    <w:rsid w:val="00ED6611"/>
    <w:rsid w:val="00ED66E0"/>
    <w:rsid w:val="00ED691E"/>
    <w:rsid w:val="00ED69F1"/>
    <w:rsid w:val="00ED6AC3"/>
    <w:rsid w:val="00ED6C1B"/>
    <w:rsid w:val="00ED6CD1"/>
    <w:rsid w:val="00ED6DD4"/>
    <w:rsid w:val="00ED6FC6"/>
    <w:rsid w:val="00ED746E"/>
    <w:rsid w:val="00ED7594"/>
    <w:rsid w:val="00ED77EF"/>
    <w:rsid w:val="00ED7BA2"/>
    <w:rsid w:val="00ED7F6D"/>
    <w:rsid w:val="00EE01B8"/>
    <w:rsid w:val="00EE01ED"/>
    <w:rsid w:val="00EE04D5"/>
    <w:rsid w:val="00EE086F"/>
    <w:rsid w:val="00EE0935"/>
    <w:rsid w:val="00EE0E5C"/>
    <w:rsid w:val="00EE0E9E"/>
    <w:rsid w:val="00EE1315"/>
    <w:rsid w:val="00EE193A"/>
    <w:rsid w:val="00EE1DCD"/>
    <w:rsid w:val="00EE1F63"/>
    <w:rsid w:val="00EE1F65"/>
    <w:rsid w:val="00EE1F76"/>
    <w:rsid w:val="00EE21E2"/>
    <w:rsid w:val="00EE245D"/>
    <w:rsid w:val="00EE2563"/>
    <w:rsid w:val="00EE284E"/>
    <w:rsid w:val="00EE3325"/>
    <w:rsid w:val="00EE3327"/>
    <w:rsid w:val="00EE3A2C"/>
    <w:rsid w:val="00EE3A90"/>
    <w:rsid w:val="00EE3E7B"/>
    <w:rsid w:val="00EE3E94"/>
    <w:rsid w:val="00EE40D6"/>
    <w:rsid w:val="00EE419D"/>
    <w:rsid w:val="00EE4F03"/>
    <w:rsid w:val="00EE4F7B"/>
    <w:rsid w:val="00EE55F0"/>
    <w:rsid w:val="00EE5B1E"/>
    <w:rsid w:val="00EE5E93"/>
    <w:rsid w:val="00EE5EEF"/>
    <w:rsid w:val="00EE60B1"/>
    <w:rsid w:val="00EE624D"/>
    <w:rsid w:val="00EE6A4B"/>
    <w:rsid w:val="00EE6E43"/>
    <w:rsid w:val="00EE6F09"/>
    <w:rsid w:val="00EE6FB0"/>
    <w:rsid w:val="00EE749B"/>
    <w:rsid w:val="00EE789A"/>
    <w:rsid w:val="00EE7BD0"/>
    <w:rsid w:val="00EE7F41"/>
    <w:rsid w:val="00EE7F6C"/>
    <w:rsid w:val="00EF0054"/>
    <w:rsid w:val="00EF0387"/>
    <w:rsid w:val="00EF0F2F"/>
    <w:rsid w:val="00EF0FBA"/>
    <w:rsid w:val="00EF10CA"/>
    <w:rsid w:val="00EF12F1"/>
    <w:rsid w:val="00EF151B"/>
    <w:rsid w:val="00EF193A"/>
    <w:rsid w:val="00EF1B37"/>
    <w:rsid w:val="00EF263C"/>
    <w:rsid w:val="00EF26EC"/>
    <w:rsid w:val="00EF2830"/>
    <w:rsid w:val="00EF2990"/>
    <w:rsid w:val="00EF29FC"/>
    <w:rsid w:val="00EF2A5D"/>
    <w:rsid w:val="00EF2D7B"/>
    <w:rsid w:val="00EF3A36"/>
    <w:rsid w:val="00EF3B97"/>
    <w:rsid w:val="00EF4023"/>
    <w:rsid w:val="00EF42B5"/>
    <w:rsid w:val="00EF479D"/>
    <w:rsid w:val="00EF483C"/>
    <w:rsid w:val="00EF4DC8"/>
    <w:rsid w:val="00EF4F83"/>
    <w:rsid w:val="00EF536E"/>
    <w:rsid w:val="00EF5682"/>
    <w:rsid w:val="00EF5BFA"/>
    <w:rsid w:val="00EF5D26"/>
    <w:rsid w:val="00EF5FBB"/>
    <w:rsid w:val="00EF618F"/>
    <w:rsid w:val="00EF64B4"/>
    <w:rsid w:val="00EF667C"/>
    <w:rsid w:val="00EF6901"/>
    <w:rsid w:val="00EF79DE"/>
    <w:rsid w:val="00EF7B53"/>
    <w:rsid w:val="00F0085D"/>
    <w:rsid w:val="00F008CB"/>
    <w:rsid w:val="00F00A94"/>
    <w:rsid w:val="00F00B2E"/>
    <w:rsid w:val="00F00BC0"/>
    <w:rsid w:val="00F013D2"/>
    <w:rsid w:val="00F01730"/>
    <w:rsid w:val="00F020F8"/>
    <w:rsid w:val="00F0235F"/>
    <w:rsid w:val="00F027D5"/>
    <w:rsid w:val="00F02C73"/>
    <w:rsid w:val="00F0302D"/>
    <w:rsid w:val="00F03167"/>
    <w:rsid w:val="00F0347E"/>
    <w:rsid w:val="00F0360B"/>
    <w:rsid w:val="00F03A84"/>
    <w:rsid w:val="00F040C6"/>
    <w:rsid w:val="00F040E4"/>
    <w:rsid w:val="00F041B2"/>
    <w:rsid w:val="00F048B6"/>
    <w:rsid w:val="00F04CA0"/>
    <w:rsid w:val="00F050E5"/>
    <w:rsid w:val="00F0557E"/>
    <w:rsid w:val="00F058AE"/>
    <w:rsid w:val="00F05983"/>
    <w:rsid w:val="00F059B6"/>
    <w:rsid w:val="00F05A3E"/>
    <w:rsid w:val="00F05ADA"/>
    <w:rsid w:val="00F05DDE"/>
    <w:rsid w:val="00F05F87"/>
    <w:rsid w:val="00F06155"/>
    <w:rsid w:val="00F06392"/>
    <w:rsid w:val="00F06458"/>
    <w:rsid w:val="00F0658A"/>
    <w:rsid w:val="00F06B41"/>
    <w:rsid w:val="00F07141"/>
    <w:rsid w:val="00F07565"/>
    <w:rsid w:val="00F07696"/>
    <w:rsid w:val="00F07B90"/>
    <w:rsid w:val="00F07C4A"/>
    <w:rsid w:val="00F102EB"/>
    <w:rsid w:val="00F10343"/>
    <w:rsid w:val="00F10723"/>
    <w:rsid w:val="00F10745"/>
    <w:rsid w:val="00F10A46"/>
    <w:rsid w:val="00F10DEA"/>
    <w:rsid w:val="00F10FA5"/>
    <w:rsid w:val="00F11367"/>
    <w:rsid w:val="00F11A0E"/>
    <w:rsid w:val="00F11D44"/>
    <w:rsid w:val="00F12541"/>
    <w:rsid w:val="00F12602"/>
    <w:rsid w:val="00F127F8"/>
    <w:rsid w:val="00F1359F"/>
    <w:rsid w:val="00F13BA0"/>
    <w:rsid w:val="00F13F1E"/>
    <w:rsid w:val="00F140EA"/>
    <w:rsid w:val="00F1465B"/>
    <w:rsid w:val="00F147E2"/>
    <w:rsid w:val="00F14AC4"/>
    <w:rsid w:val="00F14BF8"/>
    <w:rsid w:val="00F15019"/>
    <w:rsid w:val="00F150FA"/>
    <w:rsid w:val="00F153ED"/>
    <w:rsid w:val="00F15475"/>
    <w:rsid w:val="00F1559D"/>
    <w:rsid w:val="00F1567E"/>
    <w:rsid w:val="00F15A2D"/>
    <w:rsid w:val="00F15FE8"/>
    <w:rsid w:val="00F1607C"/>
    <w:rsid w:val="00F1648E"/>
    <w:rsid w:val="00F164BC"/>
    <w:rsid w:val="00F165D1"/>
    <w:rsid w:val="00F167B8"/>
    <w:rsid w:val="00F176AA"/>
    <w:rsid w:val="00F17DB4"/>
    <w:rsid w:val="00F2029F"/>
    <w:rsid w:val="00F20E3E"/>
    <w:rsid w:val="00F210F6"/>
    <w:rsid w:val="00F21279"/>
    <w:rsid w:val="00F21BF2"/>
    <w:rsid w:val="00F21BF4"/>
    <w:rsid w:val="00F21F59"/>
    <w:rsid w:val="00F2253D"/>
    <w:rsid w:val="00F22E0F"/>
    <w:rsid w:val="00F22E73"/>
    <w:rsid w:val="00F22F10"/>
    <w:rsid w:val="00F23371"/>
    <w:rsid w:val="00F238E9"/>
    <w:rsid w:val="00F23AB7"/>
    <w:rsid w:val="00F23E18"/>
    <w:rsid w:val="00F240DD"/>
    <w:rsid w:val="00F24130"/>
    <w:rsid w:val="00F24394"/>
    <w:rsid w:val="00F24ED6"/>
    <w:rsid w:val="00F25105"/>
    <w:rsid w:val="00F25199"/>
    <w:rsid w:val="00F2552E"/>
    <w:rsid w:val="00F25577"/>
    <w:rsid w:val="00F25931"/>
    <w:rsid w:val="00F2595C"/>
    <w:rsid w:val="00F25EB4"/>
    <w:rsid w:val="00F25FEB"/>
    <w:rsid w:val="00F263D2"/>
    <w:rsid w:val="00F2658D"/>
    <w:rsid w:val="00F269F1"/>
    <w:rsid w:val="00F270B4"/>
    <w:rsid w:val="00F271B4"/>
    <w:rsid w:val="00F273D1"/>
    <w:rsid w:val="00F27952"/>
    <w:rsid w:val="00F300C0"/>
    <w:rsid w:val="00F3017F"/>
    <w:rsid w:val="00F3022B"/>
    <w:rsid w:val="00F3032E"/>
    <w:rsid w:val="00F3058A"/>
    <w:rsid w:val="00F30AE1"/>
    <w:rsid w:val="00F30C1E"/>
    <w:rsid w:val="00F30EF4"/>
    <w:rsid w:val="00F319B1"/>
    <w:rsid w:val="00F31C89"/>
    <w:rsid w:val="00F31CCA"/>
    <w:rsid w:val="00F323B1"/>
    <w:rsid w:val="00F327B0"/>
    <w:rsid w:val="00F328C5"/>
    <w:rsid w:val="00F32B29"/>
    <w:rsid w:val="00F32B52"/>
    <w:rsid w:val="00F32FA3"/>
    <w:rsid w:val="00F332B6"/>
    <w:rsid w:val="00F33680"/>
    <w:rsid w:val="00F33738"/>
    <w:rsid w:val="00F33802"/>
    <w:rsid w:val="00F33BD0"/>
    <w:rsid w:val="00F33D00"/>
    <w:rsid w:val="00F33EE9"/>
    <w:rsid w:val="00F33F29"/>
    <w:rsid w:val="00F3406C"/>
    <w:rsid w:val="00F34089"/>
    <w:rsid w:val="00F341C9"/>
    <w:rsid w:val="00F34969"/>
    <w:rsid w:val="00F34977"/>
    <w:rsid w:val="00F349F4"/>
    <w:rsid w:val="00F34AF7"/>
    <w:rsid w:val="00F34D81"/>
    <w:rsid w:val="00F34DCA"/>
    <w:rsid w:val="00F34E5C"/>
    <w:rsid w:val="00F34EF3"/>
    <w:rsid w:val="00F35007"/>
    <w:rsid w:val="00F357E6"/>
    <w:rsid w:val="00F35863"/>
    <w:rsid w:val="00F36839"/>
    <w:rsid w:val="00F36A6E"/>
    <w:rsid w:val="00F3711B"/>
    <w:rsid w:val="00F376F6"/>
    <w:rsid w:val="00F37B73"/>
    <w:rsid w:val="00F37C65"/>
    <w:rsid w:val="00F37E81"/>
    <w:rsid w:val="00F37E8A"/>
    <w:rsid w:val="00F4035A"/>
    <w:rsid w:val="00F40477"/>
    <w:rsid w:val="00F404F9"/>
    <w:rsid w:val="00F409C5"/>
    <w:rsid w:val="00F40AA7"/>
    <w:rsid w:val="00F40D1F"/>
    <w:rsid w:val="00F40ED9"/>
    <w:rsid w:val="00F40FB6"/>
    <w:rsid w:val="00F41735"/>
    <w:rsid w:val="00F419F2"/>
    <w:rsid w:val="00F41A18"/>
    <w:rsid w:val="00F420E0"/>
    <w:rsid w:val="00F42264"/>
    <w:rsid w:val="00F4242C"/>
    <w:rsid w:val="00F425F1"/>
    <w:rsid w:val="00F42EEA"/>
    <w:rsid w:val="00F43125"/>
    <w:rsid w:val="00F4389D"/>
    <w:rsid w:val="00F43996"/>
    <w:rsid w:val="00F43D6A"/>
    <w:rsid w:val="00F43E8D"/>
    <w:rsid w:val="00F4454E"/>
    <w:rsid w:val="00F4470A"/>
    <w:rsid w:val="00F44955"/>
    <w:rsid w:val="00F44B49"/>
    <w:rsid w:val="00F44C6A"/>
    <w:rsid w:val="00F4525D"/>
    <w:rsid w:val="00F4538B"/>
    <w:rsid w:val="00F4549E"/>
    <w:rsid w:val="00F4562A"/>
    <w:rsid w:val="00F45970"/>
    <w:rsid w:val="00F462EE"/>
    <w:rsid w:val="00F471FF"/>
    <w:rsid w:val="00F475A3"/>
    <w:rsid w:val="00F47AB4"/>
    <w:rsid w:val="00F506B7"/>
    <w:rsid w:val="00F50702"/>
    <w:rsid w:val="00F5075B"/>
    <w:rsid w:val="00F509EE"/>
    <w:rsid w:val="00F50F2E"/>
    <w:rsid w:val="00F510DA"/>
    <w:rsid w:val="00F51165"/>
    <w:rsid w:val="00F511E7"/>
    <w:rsid w:val="00F512AA"/>
    <w:rsid w:val="00F516B2"/>
    <w:rsid w:val="00F51AFB"/>
    <w:rsid w:val="00F51EB3"/>
    <w:rsid w:val="00F521C8"/>
    <w:rsid w:val="00F52226"/>
    <w:rsid w:val="00F528BC"/>
    <w:rsid w:val="00F528EF"/>
    <w:rsid w:val="00F52A34"/>
    <w:rsid w:val="00F52DBB"/>
    <w:rsid w:val="00F52F6E"/>
    <w:rsid w:val="00F52FDA"/>
    <w:rsid w:val="00F5357B"/>
    <w:rsid w:val="00F53967"/>
    <w:rsid w:val="00F53FC9"/>
    <w:rsid w:val="00F5403C"/>
    <w:rsid w:val="00F541E8"/>
    <w:rsid w:val="00F541EF"/>
    <w:rsid w:val="00F54982"/>
    <w:rsid w:val="00F54999"/>
    <w:rsid w:val="00F549B4"/>
    <w:rsid w:val="00F549FB"/>
    <w:rsid w:val="00F54EF3"/>
    <w:rsid w:val="00F553E0"/>
    <w:rsid w:val="00F565A8"/>
    <w:rsid w:val="00F56611"/>
    <w:rsid w:val="00F5668E"/>
    <w:rsid w:val="00F56817"/>
    <w:rsid w:val="00F568B1"/>
    <w:rsid w:val="00F573E7"/>
    <w:rsid w:val="00F5746A"/>
    <w:rsid w:val="00F57776"/>
    <w:rsid w:val="00F579D8"/>
    <w:rsid w:val="00F57A5C"/>
    <w:rsid w:val="00F57E17"/>
    <w:rsid w:val="00F57FEA"/>
    <w:rsid w:val="00F607EF"/>
    <w:rsid w:val="00F60831"/>
    <w:rsid w:val="00F609E9"/>
    <w:rsid w:val="00F60B0C"/>
    <w:rsid w:val="00F60E83"/>
    <w:rsid w:val="00F60EB2"/>
    <w:rsid w:val="00F61114"/>
    <w:rsid w:val="00F61AB3"/>
    <w:rsid w:val="00F61BA0"/>
    <w:rsid w:val="00F62060"/>
    <w:rsid w:val="00F62208"/>
    <w:rsid w:val="00F62589"/>
    <w:rsid w:val="00F6298B"/>
    <w:rsid w:val="00F62DD5"/>
    <w:rsid w:val="00F62ED8"/>
    <w:rsid w:val="00F62FCF"/>
    <w:rsid w:val="00F6332A"/>
    <w:rsid w:val="00F6353D"/>
    <w:rsid w:val="00F637B2"/>
    <w:rsid w:val="00F63944"/>
    <w:rsid w:val="00F63BDA"/>
    <w:rsid w:val="00F63C69"/>
    <w:rsid w:val="00F63D2E"/>
    <w:rsid w:val="00F63F18"/>
    <w:rsid w:val="00F64514"/>
    <w:rsid w:val="00F64FDB"/>
    <w:rsid w:val="00F652B4"/>
    <w:rsid w:val="00F6552C"/>
    <w:rsid w:val="00F65645"/>
    <w:rsid w:val="00F6573E"/>
    <w:rsid w:val="00F65963"/>
    <w:rsid w:val="00F65AAC"/>
    <w:rsid w:val="00F65BBD"/>
    <w:rsid w:val="00F65BE6"/>
    <w:rsid w:val="00F65ECC"/>
    <w:rsid w:val="00F65F3A"/>
    <w:rsid w:val="00F662CB"/>
    <w:rsid w:val="00F6713F"/>
    <w:rsid w:val="00F67353"/>
    <w:rsid w:val="00F67860"/>
    <w:rsid w:val="00F70A81"/>
    <w:rsid w:val="00F70A9F"/>
    <w:rsid w:val="00F70DB5"/>
    <w:rsid w:val="00F7103F"/>
    <w:rsid w:val="00F711DD"/>
    <w:rsid w:val="00F71292"/>
    <w:rsid w:val="00F723BC"/>
    <w:rsid w:val="00F727D9"/>
    <w:rsid w:val="00F72FDD"/>
    <w:rsid w:val="00F73037"/>
    <w:rsid w:val="00F73339"/>
    <w:rsid w:val="00F73502"/>
    <w:rsid w:val="00F73624"/>
    <w:rsid w:val="00F736F6"/>
    <w:rsid w:val="00F73720"/>
    <w:rsid w:val="00F742B2"/>
    <w:rsid w:val="00F742FC"/>
    <w:rsid w:val="00F744C7"/>
    <w:rsid w:val="00F746F8"/>
    <w:rsid w:val="00F747E0"/>
    <w:rsid w:val="00F7483E"/>
    <w:rsid w:val="00F74865"/>
    <w:rsid w:val="00F74C47"/>
    <w:rsid w:val="00F74C9F"/>
    <w:rsid w:val="00F74E07"/>
    <w:rsid w:val="00F7588F"/>
    <w:rsid w:val="00F75DF6"/>
    <w:rsid w:val="00F75E9B"/>
    <w:rsid w:val="00F760FE"/>
    <w:rsid w:val="00F765D7"/>
    <w:rsid w:val="00F7667A"/>
    <w:rsid w:val="00F768B2"/>
    <w:rsid w:val="00F76B15"/>
    <w:rsid w:val="00F76D73"/>
    <w:rsid w:val="00F777D2"/>
    <w:rsid w:val="00F77B63"/>
    <w:rsid w:val="00F80343"/>
    <w:rsid w:val="00F80399"/>
    <w:rsid w:val="00F807BF"/>
    <w:rsid w:val="00F80910"/>
    <w:rsid w:val="00F80999"/>
    <w:rsid w:val="00F80C05"/>
    <w:rsid w:val="00F80DE5"/>
    <w:rsid w:val="00F81470"/>
    <w:rsid w:val="00F816C9"/>
    <w:rsid w:val="00F81B3D"/>
    <w:rsid w:val="00F82830"/>
    <w:rsid w:val="00F828F6"/>
    <w:rsid w:val="00F829AF"/>
    <w:rsid w:val="00F82ADE"/>
    <w:rsid w:val="00F82B3B"/>
    <w:rsid w:val="00F82F8C"/>
    <w:rsid w:val="00F83087"/>
    <w:rsid w:val="00F833BF"/>
    <w:rsid w:val="00F8382F"/>
    <w:rsid w:val="00F83CD6"/>
    <w:rsid w:val="00F84A73"/>
    <w:rsid w:val="00F84C67"/>
    <w:rsid w:val="00F85648"/>
    <w:rsid w:val="00F85AD8"/>
    <w:rsid w:val="00F86122"/>
    <w:rsid w:val="00F862D2"/>
    <w:rsid w:val="00F86369"/>
    <w:rsid w:val="00F86D53"/>
    <w:rsid w:val="00F87FE5"/>
    <w:rsid w:val="00F902F9"/>
    <w:rsid w:val="00F90463"/>
    <w:rsid w:val="00F906EB"/>
    <w:rsid w:val="00F90973"/>
    <w:rsid w:val="00F90D52"/>
    <w:rsid w:val="00F9102D"/>
    <w:rsid w:val="00F91081"/>
    <w:rsid w:val="00F91B81"/>
    <w:rsid w:val="00F92147"/>
    <w:rsid w:val="00F923B7"/>
    <w:rsid w:val="00F9271D"/>
    <w:rsid w:val="00F92B44"/>
    <w:rsid w:val="00F93513"/>
    <w:rsid w:val="00F9361F"/>
    <w:rsid w:val="00F938DC"/>
    <w:rsid w:val="00F93D43"/>
    <w:rsid w:val="00F93F14"/>
    <w:rsid w:val="00F93FF3"/>
    <w:rsid w:val="00F948C8"/>
    <w:rsid w:val="00F94B41"/>
    <w:rsid w:val="00F94E91"/>
    <w:rsid w:val="00F94F84"/>
    <w:rsid w:val="00F956A6"/>
    <w:rsid w:val="00F95843"/>
    <w:rsid w:val="00F958FF"/>
    <w:rsid w:val="00F95EF3"/>
    <w:rsid w:val="00F96578"/>
    <w:rsid w:val="00F975B7"/>
    <w:rsid w:val="00F978B1"/>
    <w:rsid w:val="00F9798E"/>
    <w:rsid w:val="00FA0331"/>
    <w:rsid w:val="00FA037C"/>
    <w:rsid w:val="00FA04D6"/>
    <w:rsid w:val="00FA07BA"/>
    <w:rsid w:val="00FA07C2"/>
    <w:rsid w:val="00FA0805"/>
    <w:rsid w:val="00FA0979"/>
    <w:rsid w:val="00FA0987"/>
    <w:rsid w:val="00FA0CA4"/>
    <w:rsid w:val="00FA1650"/>
    <w:rsid w:val="00FA1738"/>
    <w:rsid w:val="00FA19E7"/>
    <w:rsid w:val="00FA1AC0"/>
    <w:rsid w:val="00FA1AF3"/>
    <w:rsid w:val="00FA1BE3"/>
    <w:rsid w:val="00FA1C52"/>
    <w:rsid w:val="00FA1F6A"/>
    <w:rsid w:val="00FA20C1"/>
    <w:rsid w:val="00FA20EC"/>
    <w:rsid w:val="00FA27FB"/>
    <w:rsid w:val="00FA28C3"/>
    <w:rsid w:val="00FA2A5F"/>
    <w:rsid w:val="00FA2D5D"/>
    <w:rsid w:val="00FA30D5"/>
    <w:rsid w:val="00FA369E"/>
    <w:rsid w:val="00FA36EC"/>
    <w:rsid w:val="00FA3851"/>
    <w:rsid w:val="00FA4A3B"/>
    <w:rsid w:val="00FA4F38"/>
    <w:rsid w:val="00FA50B3"/>
    <w:rsid w:val="00FA542F"/>
    <w:rsid w:val="00FA5707"/>
    <w:rsid w:val="00FA5962"/>
    <w:rsid w:val="00FA5CD8"/>
    <w:rsid w:val="00FA6110"/>
    <w:rsid w:val="00FA6C21"/>
    <w:rsid w:val="00FA6D34"/>
    <w:rsid w:val="00FA720D"/>
    <w:rsid w:val="00FA7260"/>
    <w:rsid w:val="00FA72C6"/>
    <w:rsid w:val="00FA75F5"/>
    <w:rsid w:val="00FA77E6"/>
    <w:rsid w:val="00FA7848"/>
    <w:rsid w:val="00FA7950"/>
    <w:rsid w:val="00FA7C02"/>
    <w:rsid w:val="00FB0797"/>
    <w:rsid w:val="00FB07F5"/>
    <w:rsid w:val="00FB0B14"/>
    <w:rsid w:val="00FB1043"/>
    <w:rsid w:val="00FB1191"/>
    <w:rsid w:val="00FB17AE"/>
    <w:rsid w:val="00FB1EB4"/>
    <w:rsid w:val="00FB1FE8"/>
    <w:rsid w:val="00FB1FF6"/>
    <w:rsid w:val="00FB2863"/>
    <w:rsid w:val="00FB2880"/>
    <w:rsid w:val="00FB29E6"/>
    <w:rsid w:val="00FB2A18"/>
    <w:rsid w:val="00FB2B8E"/>
    <w:rsid w:val="00FB2BBD"/>
    <w:rsid w:val="00FB2C92"/>
    <w:rsid w:val="00FB2F29"/>
    <w:rsid w:val="00FB33E0"/>
    <w:rsid w:val="00FB3791"/>
    <w:rsid w:val="00FB3B00"/>
    <w:rsid w:val="00FB3B9F"/>
    <w:rsid w:val="00FB3CAE"/>
    <w:rsid w:val="00FB420C"/>
    <w:rsid w:val="00FB4212"/>
    <w:rsid w:val="00FB42A2"/>
    <w:rsid w:val="00FB45E9"/>
    <w:rsid w:val="00FB4BC1"/>
    <w:rsid w:val="00FB5010"/>
    <w:rsid w:val="00FB529E"/>
    <w:rsid w:val="00FB54FA"/>
    <w:rsid w:val="00FB5A09"/>
    <w:rsid w:val="00FB5C14"/>
    <w:rsid w:val="00FB5D87"/>
    <w:rsid w:val="00FB653B"/>
    <w:rsid w:val="00FB653F"/>
    <w:rsid w:val="00FB658F"/>
    <w:rsid w:val="00FB672E"/>
    <w:rsid w:val="00FB6847"/>
    <w:rsid w:val="00FB6B1B"/>
    <w:rsid w:val="00FB6DE1"/>
    <w:rsid w:val="00FB6E82"/>
    <w:rsid w:val="00FB6E8B"/>
    <w:rsid w:val="00FB6F64"/>
    <w:rsid w:val="00FB755E"/>
    <w:rsid w:val="00FB7794"/>
    <w:rsid w:val="00FB7983"/>
    <w:rsid w:val="00FB7CF0"/>
    <w:rsid w:val="00FB7DDA"/>
    <w:rsid w:val="00FB7F4E"/>
    <w:rsid w:val="00FC006D"/>
    <w:rsid w:val="00FC00FE"/>
    <w:rsid w:val="00FC0163"/>
    <w:rsid w:val="00FC0268"/>
    <w:rsid w:val="00FC02FB"/>
    <w:rsid w:val="00FC0339"/>
    <w:rsid w:val="00FC0D7D"/>
    <w:rsid w:val="00FC1AE1"/>
    <w:rsid w:val="00FC1F2A"/>
    <w:rsid w:val="00FC2B72"/>
    <w:rsid w:val="00FC2E74"/>
    <w:rsid w:val="00FC3128"/>
    <w:rsid w:val="00FC3C79"/>
    <w:rsid w:val="00FC3F54"/>
    <w:rsid w:val="00FC4B70"/>
    <w:rsid w:val="00FC4E9F"/>
    <w:rsid w:val="00FC5C79"/>
    <w:rsid w:val="00FC5E70"/>
    <w:rsid w:val="00FC61B0"/>
    <w:rsid w:val="00FC635C"/>
    <w:rsid w:val="00FC6C5B"/>
    <w:rsid w:val="00FC6DFB"/>
    <w:rsid w:val="00FC7107"/>
    <w:rsid w:val="00FC7525"/>
    <w:rsid w:val="00FC776F"/>
    <w:rsid w:val="00FC7D5F"/>
    <w:rsid w:val="00FC7FAF"/>
    <w:rsid w:val="00FD0062"/>
    <w:rsid w:val="00FD0571"/>
    <w:rsid w:val="00FD069B"/>
    <w:rsid w:val="00FD0A7C"/>
    <w:rsid w:val="00FD1713"/>
    <w:rsid w:val="00FD1A6B"/>
    <w:rsid w:val="00FD1CB3"/>
    <w:rsid w:val="00FD1DE5"/>
    <w:rsid w:val="00FD20AA"/>
    <w:rsid w:val="00FD2265"/>
    <w:rsid w:val="00FD2286"/>
    <w:rsid w:val="00FD2520"/>
    <w:rsid w:val="00FD27C1"/>
    <w:rsid w:val="00FD2FDF"/>
    <w:rsid w:val="00FD3361"/>
    <w:rsid w:val="00FD35A1"/>
    <w:rsid w:val="00FD3768"/>
    <w:rsid w:val="00FD41E5"/>
    <w:rsid w:val="00FD4913"/>
    <w:rsid w:val="00FD4BA8"/>
    <w:rsid w:val="00FD52E5"/>
    <w:rsid w:val="00FD5577"/>
    <w:rsid w:val="00FD5730"/>
    <w:rsid w:val="00FD5F87"/>
    <w:rsid w:val="00FD6319"/>
    <w:rsid w:val="00FD64CD"/>
    <w:rsid w:val="00FD6A5C"/>
    <w:rsid w:val="00FD6AAD"/>
    <w:rsid w:val="00FD6CC3"/>
    <w:rsid w:val="00FD7472"/>
    <w:rsid w:val="00FD7546"/>
    <w:rsid w:val="00FD78F4"/>
    <w:rsid w:val="00FD7D7C"/>
    <w:rsid w:val="00FD7E3A"/>
    <w:rsid w:val="00FD7E67"/>
    <w:rsid w:val="00FE03BC"/>
    <w:rsid w:val="00FE0598"/>
    <w:rsid w:val="00FE0FC2"/>
    <w:rsid w:val="00FE1081"/>
    <w:rsid w:val="00FE108A"/>
    <w:rsid w:val="00FE114D"/>
    <w:rsid w:val="00FE11DD"/>
    <w:rsid w:val="00FE11ED"/>
    <w:rsid w:val="00FE11F5"/>
    <w:rsid w:val="00FE1535"/>
    <w:rsid w:val="00FE169D"/>
    <w:rsid w:val="00FE17A4"/>
    <w:rsid w:val="00FE1EF6"/>
    <w:rsid w:val="00FE2015"/>
    <w:rsid w:val="00FE2053"/>
    <w:rsid w:val="00FE21C5"/>
    <w:rsid w:val="00FE27DD"/>
    <w:rsid w:val="00FE30DC"/>
    <w:rsid w:val="00FE3505"/>
    <w:rsid w:val="00FE39A0"/>
    <w:rsid w:val="00FE3FAC"/>
    <w:rsid w:val="00FE4110"/>
    <w:rsid w:val="00FE417B"/>
    <w:rsid w:val="00FE4688"/>
    <w:rsid w:val="00FE4A74"/>
    <w:rsid w:val="00FE4B67"/>
    <w:rsid w:val="00FE4F22"/>
    <w:rsid w:val="00FE4F90"/>
    <w:rsid w:val="00FE52EF"/>
    <w:rsid w:val="00FE530D"/>
    <w:rsid w:val="00FE5448"/>
    <w:rsid w:val="00FE564F"/>
    <w:rsid w:val="00FE5901"/>
    <w:rsid w:val="00FE66D4"/>
    <w:rsid w:val="00FE6861"/>
    <w:rsid w:val="00FE6DB5"/>
    <w:rsid w:val="00FE707B"/>
    <w:rsid w:val="00FE72DB"/>
    <w:rsid w:val="00FE786D"/>
    <w:rsid w:val="00FE7B9A"/>
    <w:rsid w:val="00FE7D0F"/>
    <w:rsid w:val="00FF0376"/>
    <w:rsid w:val="00FF0575"/>
    <w:rsid w:val="00FF08FE"/>
    <w:rsid w:val="00FF0EF8"/>
    <w:rsid w:val="00FF120F"/>
    <w:rsid w:val="00FF12AE"/>
    <w:rsid w:val="00FF1877"/>
    <w:rsid w:val="00FF1E43"/>
    <w:rsid w:val="00FF1E62"/>
    <w:rsid w:val="00FF20CE"/>
    <w:rsid w:val="00FF2AE3"/>
    <w:rsid w:val="00FF2DFE"/>
    <w:rsid w:val="00FF2F4D"/>
    <w:rsid w:val="00FF317D"/>
    <w:rsid w:val="00FF31CC"/>
    <w:rsid w:val="00FF33EF"/>
    <w:rsid w:val="00FF377C"/>
    <w:rsid w:val="00FF3A8C"/>
    <w:rsid w:val="00FF3AB3"/>
    <w:rsid w:val="00FF4069"/>
    <w:rsid w:val="00FF439A"/>
    <w:rsid w:val="00FF46C8"/>
    <w:rsid w:val="00FF49D8"/>
    <w:rsid w:val="00FF4A7D"/>
    <w:rsid w:val="00FF57AB"/>
    <w:rsid w:val="00FF57B3"/>
    <w:rsid w:val="00FF5922"/>
    <w:rsid w:val="00FF5C2E"/>
    <w:rsid w:val="00FF62C1"/>
    <w:rsid w:val="00FF686E"/>
    <w:rsid w:val="00FF727E"/>
    <w:rsid w:val="00FF732C"/>
    <w:rsid w:val="00FF77BD"/>
    <w:rsid w:val="00FF7871"/>
    <w:rsid w:val="00FF7C57"/>
    <w:rsid w:val="00FF7F28"/>
    <w:rsid w:val="01791910"/>
    <w:rsid w:val="018932CF"/>
    <w:rsid w:val="02FE3561"/>
    <w:rsid w:val="03830BB7"/>
    <w:rsid w:val="039B0AD3"/>
    <w:rsid w:val="048E122E"/>
    <w:rsid w:val="04BF7C35"/>
    <w:rsid w:val="06743FF0"/>
    <w:rsid w:val="06C542C4"/>
    <w:rsid w:val="08C21569"/>
    <w:rsid w:val="0A2F3D28"/>
    <w:rsid w:val="0A6D0733"/>
    <w:rsid w:val="0A830D37"/>
    <w:rsid w:val="0B356328"/>
    <w:rsid w:val="0BC743F6"/>
    <w:rsid w:val="0C287BAC"/>
    <w:rsid w:val="0C621CDF"/>
    <w:rsid w:val="0CBF2595"/>
    <w:rsid w:val="0CCF5D9A"/>
    <w:rsid w:val="0CDFE72C"/>
    <w:rsid w:val="0E9B1FB4"/>
    <w:rsid w:val="0EBDC529"/>
    <w:rsid w:val="0ED2243A"/>
    <w:rsid w:val="0EE44124"/>
    <w:rsid w:val="0EED8916"/>
    <w:rsid w:val="0F975036"/>
    <w:rsid w:val="0F9D0EBF"/>
    <w:rsid w:val="10174160"/>
    <w:rsid w:val="102F7908"/>
    <w:rsid w:val="10B21C5D"/>
    <w:rsid w:val="1165507C"/>
    <w:rsid w:val="129B1B52"/>
    <w:rsid w:val="12F6321A"/>
    <w:rsid w:val="15456371"/>
    <w:rsid w:val="16155679"/>
    <w:rsid w:val="162575A4"/>
    <w:rsid w:val="165716DE"/>
    <w:rsid w:val="16D43419"/>
    <w:rsid w:val="17954167"/>
    <w:rsid w:val="193F389D"/>
    <w:rsid w:val="19C6337B"/>
    <w:rsid w:val="19D05A06"/>
    <w:rsid w:val="1AF9305D"/>
    <w:rsid w:val="1AFA269D"/>
    <w:rsid w:val="1B0D0523"/>
    <w:rsid w:val="1BB3015E"/>
    <w:rsid w:val="1BD576B9"/>
    <w:rsid w:val="1BE20386"/>
    <w:rsid w:val="1BE6253A"/>
    <w:rsid w:val="1C265030"/>
    <w:rsid w:val="1D7FA1E6"/>
    <w:rsid w:val="1DDC6415"/>
    <w:rsid w:val="1DE60F4B"/>
    <w:rsid w:val="1DFFA926"/>
    <w:rsid w:val="1E732CF2"/>
    <w:rsid w:val="1EA24431"/>
    <w:rsid w:val="1EDF9C76"/>
    <w:rsid w:val="1F2733CA"/>
    <w:rsid w:val="1F6231D7"/>
    <w:rsid w:val="1F9F12D4"/>
    <w:rsid w:val="1FB3BF19"/>
    <w:rsid w:val="1FB5976F"/>
    <w:rsid w:val="1FB756E2"/>
    <w:rsid w:val="1FDB99C8"/>
    <w:rsid w:val="1FE1424E"/>
    <w:rsid w:val="1FEF2CEF"/>
    <w:rsid w:val="1FF7D5F6"/>
    <w:rsid w:val="1FF7D8DF"/>
    <w:rsid w:val="20403824"/>
    <w:rsid w:val="2099653D"/>
    <w:rsid w:val="20E55015"/>
    <w:rsid w:val="219122E6"/>
    <w:rsid w:val="235D3EF1"/>
    <w:rsid w:val="239D6ED4"/>
    <w:rsid w:val="23B93799"/>
    <w:rsid w:val="24591BD3"/>
    <w:rsid w:val="250554F6"/>
    <w:rsid w:val="25FF04F3"/>
    <w:rsid w:val="26B10B83"/>
    <w:rsid w:val="26BB2773"/>
    <w:rsid w:val="26E06176"/>
    <w:rsid w:val="28021D9B"/>
    <w:rsid w:val="281B1BF4"/>
    <w:rsid w:val="288F89B6"/>
    <w:rsid w:val="29412512"/>
    <w:rsid w:val="29754ACF"/>
    <w:rsid w:val="2A56212F"/>
    <w:rsid w:val="2AD76BDC"/>
    <w:rsid w:val="2BB73FC3"/>
    <w:rsid w:val="2C71794E"/>
    <w:rsid w:val="2CB93A07"/>
    <w:rsid w:val="2CC26B7A"/>
    <w:rsid w:val="2D6C738C"/>
    <w:rsid w:val="2D7BF4DE"/>
    <w:rsid w:val="2D9E60D7"/>
    <w:rsid w:val="2DE5F2CB"/>
    <w:rsid w:val="2E246815"/>
    <w:rsid w:val="2E7F07F0"/>
    <w:rsid w:val="2EFF6ADA"/>
    <w:rsid w:val="2FCF9467"/>
    <w:rsid w:val="2FFF3A6E"/>
    <w:rsid w:val="313052DD"/>
    <w:rsid w:val="32177DD0"/>
    <w:rsid w:val="32447804"/>
    <w:rsid w:val="33750D87"/>
    <w:rsid w:val="339B6140"/>
    <w:rsid w:val="33AB7ACB"/>
    <w:rsid w:val="3524347B"/>
    <w:rsid w:val="353C333D"/>
    <w:rsid w:val="35A97930"/>
    <w:rsid w:val="35D36FE1"/>
    <w:rsid w:val="36173495"/>
    <w:rsid w:val="367928C3"/>
    <w:rsid w:val="36AD21A4"/>
    <w:rsid w:val="36EF56CA"/>
    <w:rsid w:val="372A3DE0"/>
    <w:rsid w:val="37EF796E"/>
    <w:rsid w:val="37FE2FE0"/>
    <w:rsid w:val="37FF782A"/>
    <w:rsid w:val="38601D0C"/>
    <w:rsid w:val="391D4BAC"/>
    <w:rsid w:val="39D34D96"/>
    <w:rsid w:val="3AA223B3"/>
    <w:rsid w:val="3B811D1B"/>
    <w:rsid w:val="3BCFE153"/>
    <w:rsid w:val="3BD056AD"/>
    <w:rsid w:val="3BD6E88B"/>
    <w:rsid w:val="3BEF4D1F"/>
    <w:rsid w:val="3BFD6707"/>
    <w:rsid w:val="3C233B34"/>
    <w:rsid w:val="3C5E288B"/>
    <w:rsid w:val="3CA152E9"/>
    <w:rsid w:val="3CEBEFD7"/>
    <w:rsid w:val="3CECFC4C"/>
    <w:rsid w:val="3CFF38FC"/>
    <w:rsid w:val="3D8B6A5A"/>
    <w:rsid w:val="3DF61520"/>
    <w:rsid w:val="3DF6B192"/>
    <w:rsid w:val="3DF90A6B"/>
    <w:rsid w:val="3E7DFB34"/>
    <w:rsid w:val="3EDB72D2"/>
    <w:rsid w:val="3F7B1CBE"/>
    <w:rsid w:val="3FABA705"/>
    <w:rsid w:val="3FBD7CF7"/>
    <w:rsid w:val="3FBFCB74"/>
    <w:rsid w:val="3FD23A95"/>
    <w:rsid w:val="3FDFDAA0"/>
    <w:rsid w:val="3FECD78C"/>
    <w:rsid w:val="3FF01CD2"/>
    <w:rsid w:val="3FF62A1A"/>
    <w:rsid w:val="3FF736AF"/>
    <w:rsid w:val="3FFBE7C8"/>
    <w:rsid w:val="3FFF4C0E"/>
    <w:rsid w:val="40C003E6"/>
    <w:rsid w:val="420833C8"/>
    <w:rsid w:val="43AD128A"/>
    <w:rsid w:val="43B30657"/>
    <w:rsid w:val="44245F70"/>
    <w:rsid w:val="45587A09"/>
    <w:rsid w:val="45D96EF6"/>
    <w:rsid w:val="45F6AD79"/>
    <w:rsid w:val="464661D2"/>
    <w:rsid w:val="466D300A"/>
    <w:rsid w:val="468D0B8F"/>
    <w:rsid w:val="47400A46"/>
    <w:rsid w:val="47C1558C"/>
    <w:rsid w:val="48F50E49"/>
    <w:rsid w:val="49497578"/>
    <w:rsid w:val="4A301718"/>
    <w:rsid w:val="4A7FAF4D"/>
    <w:rsid w:val="4B540B56"/>
    <w:rsid w:val="4BB1370F"/>
    <w:rsid w:val="4D2168A6"/>
    <w:rsid w:val="4EDF7835"/>
    <w:rsid w:val="4EFA3509"/>
    <w:rsid w:val="4F627DD1"/>
    <w:rsid w:val="501D400A"/>
    <w:rsid w:val="5031435C"/>
    <w:rsid w:val="503E4E84"/>
    <w:rsid w:val="519A3B67"/>
    <w:rsid w:val="51BA7EB7"/>
    <w:rsid w:val="52132345"/>
    <w:rsid w:val="527C7056"/>
    <w:rsid w:val="528A5D03"/>
    <w:rsid w:val="52D31231"/>
    <w:rsid w:val="53770A56"/>
    <w:rsid w:val="53BF452D"/>
    <w:rsid w:val="5479245F"/>
    <w:rsid w:val="54EB610A"/>
    <w:rsid w:val="55293866"/>
    <w:rsid w:val="558F022D"/>
    <w:rsid w:val="55EE06D6"/>
    <w:rsid w:val="569C2904"/>
    <w:rsid w:val="56BFC4F6"/>
    <w:rsid w:val="56D9FC65"/>
    <w:rsid w:val="56DFD103"/>
    <w:rsid w:val="56FBF5E0"/>
    <w:rsid w:val="578FEADD"/>
    <w:rsid w:val="57E9590E"/>
    <w:rsid w:val="57EFB2F5"/>
    <w:rsid w:val="57FC113B"/>
    <w:rsid w:val="586C2DC5"/>
    <w:rsid w:val="59141A62"/>
    <w:rsid w:val="59424A27"/>
    <w:rsid w:val="59D6446D"/>
    <w:rsid w:val="5A1F5D26"/>
    <w:rsid w:val="5A672C25"/>
    <w:rsid w:val="5A8A0F33"/>
    <w:rsid w:val="5A8B3400"/>
    <w:rsid w:val="5AD81EF5"/>
    <w:rsid w:val="5BC06648"/>
    <w:rsid w:val="5BCD0B52"/>
    <w:rsid w:val="5BDFECB8"/>
    <w:rsid w:val="5BDFF257"/>
    <w:rsid w:val="5BFE613D"/>
    <w:rsid w:val="5C8DCBAF"/>
    <w:rsid w:val="5DB83E59"/>
    <w:rsid w:val="5DFE0925"/>
    <w:rsid w:val="5E58B954"/>
    <w:rsid w:val="5E9B8F3D"/>
    <w:rsid w:val="5EBF2315"/>
    <w:rsid w:val="5ED85959"/>
    <w:rsid w:val="5EF57A4D"/>
    <w:rsid w:val="5F1B8021"/>
    <w:rsid w:val="5F3F9A36"/>
    <w:rsid w:val="5F67F285"/>
    <w:rsid w:val="5F7801D6"/>
    <w:rsid w:val="5F7ED180"/>
    <w:rsid w:val="5F8A4F19"/>
    <w:rsid w:val="5FEE4739"/>
    <w:rsid w:val="5FEF7817"/>
    <w:rsid w:val="5FEFAA34"/>
    <w:rsid w:val="5FF4C3BE"/>
    <w:rsid w:val="5FFB514F"/>
    <w:rsid w:val="5FFD6718"/>
    <w:rsid w:val="5FFDDCCA"/>
    <w:rsid w:val="603A7D52"/>
    <w:rsid w:val="62B658DB"/>
    <w:rsid w:val="62C010FF"/>
    <w:rsid w:val="63564CFB"/>
    <w:rsid w:val="63822E81"/>
    <w:rsid w:val="64333FE6"/>
    <w:rsid w:val="6551C932"/>
    <w:rsid w:val="659B2468"/>
    <w:rsid w:val="66291CDA"/>
    <w:rsid w:val="6687024F"/>
    <w:rsid w:val="677F8A7D"/>
    <w:rsid w:val="678A2BAE"/>
    <w:rsid w:val="67BF620C"/>
    <w:rsid w:val="67FBBC57"/>
    <w:rsid w:val="67FE4773"/>
    <w:rsid w:val="68034EFC"/>
    <w:rsid w:val="687D0177"/>
    <w:rsid w:val="69380994"/>
    <w:rsid w:val="694DD972"/>
    <w:rsid w:val="699E6326"/>
    <w:rsid w:val="69F7898F"/>
    <w:rsid w:val="69FEAD09"/>
    <w:rsid w:val="6AAB1847"/>
    <w:rsid w:val="6AFD0333"/>
    <w:rsid w:val="6AFF8FB6"/>
    <w:rsid w:val="6B1F520E"/>
    <w:rsid w:val="6B7D8AE3"/>
    <w:rsid w:val="6B7F52BA"/>
    <w:rsid w:val="6B950CCD"/>
    <w:rsid w:val="6BF7864D"/>
    <w:rsid w:val="6C62446B"/>
    <w:rsid w:val="6CF97A9B"/>
    <w:rsid w:val="6CFF034F"/>
    <w:rsid w:val="6D363D23"/>
    <w:rsid w:val="6D642FBE"/>
    <w:rsid w:val="6D7B4DAC"/>
    <w:rsid w:val="6D7E577F"/>
    <w:rsid w:val="6DCFAA6E"/>
    <w:rsid w:val="6DDA889D"/>
    <w:rsid w:val="6DEF467F"/>
    <w:rsid w:val="6DFD3CCF"/>
    <w:rsid w:val="6DFFA092"/>
    <w:rsid w:val="6E3D6B63"/>
    <w:rsid w:val="6E7E03D7"/>
    <w:rsid w:val="6E8608C0"/>
    <w:rsid w:val="6EDF23FA"/>
    <w:rsid w:val="6EE01132"/>
    <w:rsid w:val="6EEF2843"/>
    <w:rsid w:val="6EEF40C4"/>
    <w:rsid w:val="6EF63927"/>
    <w:rsid w:val="6EFDA48E"/>
    <w:rsid w:val="6F254BB4"/>
    <w:rsid w:val="6F4F9E43"/>
    <w:rsid w:val="6F5B205F"/>
    <w:rsid w:val="6F7735D1"/>
    <w:rsid w:val="6F782D1F"/>
    <w:rsid w:val="6F7FCD5E"/>
    <w:rsid w:val="6FA20BDB"/>
    <w:rsid w:val="6FAE632F"/>
    <w:rsid w:val="6FCFA7EB"/>
    <w:rsid w:val="6FE7AAA1"/>
    <w:rsid w:val="705F5252"/>
    <w:rsid w:val="70DF1C71"/>
    <w:rsid w:val="7148570A"/>
    <w:rsid w:val="71BFB65B"/>
    <w:rsid w:val="71DDEBEA"/>
    <w:rsid w:val="71FE6291"/>
    <w:rsid w:val="722C201C"/>
    <w:rsid w:val="72343515"/>
    <w:rsid w:val="72885D0C"/>
    <w:rsid w:val="72EE7572"/>
    <w:rsid w:val="72FA3900"/>
    <w:rsid w:val="73B65377"/>
    <w:rsid w:val="73CF5614"/>
    <w:rsid w:val="73DE6F0E"/>
    <w:rsid w:val="73E24940"/>
    <w:rsid w:val="73EF4695"/>
    <w:rsid w:val="745BD68E"/>
    <w:rsid w:val="7537FE63"/>
    <w:rsid w:val="757A5FD3"/>
    <w:rsid w:val="75DE1788"/>
    <w:rsid w:val="75EA3101"/>
    <w:rsid w:val="75EFB91C"/>
    <w:rsid w:val="75FFBFBA"/>
    <w:rsid w:val="766BA9BF"/>
    <w:rsid w:val="768076F4"/>
    <w:rsid w:val="76CF8F75"/>
    <w:rsid w:val="76ED5C8E"/>
    <w:rsid w:val="773F331E"/>
    <w:rsid w:val="776B6942"/>
    <w:rsid w:val="77AF48A0"/>
    <w:rsid w:val="77BC38B2"/>
    <w:rsid w:val="77BDC29B"/>
    <w:rsid w:val="77C717A4"/>
    <w:rsid w:val="77C86949"/>
    <w:rsid w:val="77CBD054"/>
    <w:rsid w:val="77DF3A9D"/>
    <w:rsid w:val="77E61488"/>
    <w:rsid w:val="77EA67FD"/>
    <w:rsid w:val="77F95A7B"/>
    <w:rsid w:val="77FF498B"/>
    <w:rsid w:val="78156D0C"/>
    <w:rsid w:val="78C52BD8"/>
    <w:rsid w:val="78F3D452"/>
    <w:rsid w:val="78F91BF6"/>
    <w:rsid w:val="79243844"/>
    <w:rsid w:val="7977B264"/>
    <w:rsid w:val="79BF7AB6"/>
    <w:rsid w:val="79E9342B"/>
    <w:rsid w:val="79F66BB6"/>
    <w:rsid w:val="7A11533E"/>
    <w:rsid w:val="7A1E59AD"/>
    <w:rsid w:val="7A592749"/>
    <w:rsid w:val="7AB587B7"/>
    <w:rsid w:val="7B7FA5F7"/>
    <w:rsid w:val="7BBA6B1D"/>
    <w:rsid w:val="7BBE64CD"/>
    <w:rsid w:val="7BC34C0D"/>
    <w:rsid w:val="7BC42901"/>
    <w:rsid w:val="7BD7DFA2"/>
    <w:rsid w:val="7BDD060F"/>
    <w:rsid w:val="7BDE53C3"/>
    <w:rsid w:val="7BF49CB9"/>
    <w:rsid w:val="7BFBBBF6"/>
    <w:rsid w:val="7BFD73DF"/>
    <w:rsid w:val="7BFFDF9E"/>
    <w:rsid w:val="7C354EC9"/>
    <w:rsid w:val="7C41727B"/>
    <w:rsid w:val="7CBFC52E"/>
    <w:rsid w:val="7CFF7C08"/>
    <w:rsid w:val="7D255242"/>
    <w:rsid w:val="7D412012"/>
    <w:rsid w:val="7D667F7B"/>
    <w:rsid w:val="7D9F0394"/>
    <w:rsid w:val="7DED3E80"/>
    <w:rsid w:val="7DF7715F"/>
    <w:rsid w:val="7DF7ADF6"/>
    <w:rsid w:val="7DFE4D71"/>
    <w:rsid w:val="7E77E1DD"/>
    <w:rsid w:val="7E9C7095"/>
    <w:rsid w:val="7EBE63BA"/>
    <w:rsid w:val="7ECEEA38"/>
    <w:rsid w:val="7EDFC69C"/>
    <w:rsid w:val="7EE74895"/>
    <w:rsid w:val="7EF232A2"/>
    <w:rsid w:val="7EFDA705"/>
    <w:rsid w:val="7F3F2FFB"/>
    <w:rsid w:val="7F5681B4"/>
    <w:rsid w:val="7F6685DF"/>
    <w:rsid w:val="7F6A30DE"/>
    <w:rsid w:val="7F74F917"/>
    <w:rsid w:val="7F97442D"/>
    <w:rsid w:val="7F97A5D1"/>
    <w:rsid w:val="7FAFDB05"/>
    <w:rsid w:val="7FB4B7AE"/>
    <w:rsid w:val="7FDD42E3"/>
    <w:rsid w:val="7FDF8E35"/>
    <w:rsid w:val="7FE52A44"/>
    <w:rsid w:val="7FE6CEA3"/>
    <w:rsid w:val="7FEB8453"/>
    <w:rsid w:val="7FEDD67A"/>
    <w:rsid w:val="7FF39520"/>
    <w:rsid w:val="7FF73268"/>
    <w:rsid w:val="7FF7A59B"/>
    <w:rsid w:val="7FF7E686"/>
    <w:rsid w:val="7FFB1423"/>
    <w:rsid w:val="7FFDC4DB"/>
    <w:rsid w:val="7FFEEDB6"/>
    <w:rsid w:val="7FFF745C"/>
    <w:rsid w:val="7FFFE908"/>
    <w:rsid w:val="8CDFC6FB"/>
    <w:rsid w:val="8FF6FFB4"/>
    <w:rsid w:val="8FFFC200"/>
    <w:rsid w:val="927DD87F"/>
    <w:rsid w:val="93CACC3C"/>
    <w:rsid w:val="953F7EEF"/>
    <w:rsid w:val="96C4C02C"/>
    <w:rsid w:val="97FABAE7"/>
    <w:rsid w:val="9AB65B47"/>
    <w:rsid w:val="9B7E7392"/>
    <w:rsid w:val="9E67606D"/>
    <w:rsid w:val="9FDB336A"/>
    <w:rsid w:val="9FDFE977"/>
    <w:rsid w:val="9FE38196"/>
    <w:rsid w:val="A3FFCCE8"/>
    <w:rsid w:val="A5AE0677"/>
    <w:rsid w:val="A74F6DC9"/>
    <w:rsid w:val="A7642607"/>
    <w:rsid w:val="AB2F528D"/>
    <w:rsid w:val="ACA23808"/>
    <w:rsid w:val="ACE5B87F"/>
    <w:rsid w:val="AF6EB877"/>
    <w:rsid w:val="AFFDD9AB"/>
    <w:rsid w:val="AFFFAB08"/>
    <w:rsid w:val="AFFFF8B6"/>
    <w:rsid w:val="B396A770"/>
    <w:rsid w:val="B5F0A741"/>
    <w:rsid w:val="B65792E0"/>
    <w:rsid w:val="B6EF245E"/>
    <w:rsid w:val="B7AFAACD"/>
    <w:rsid w:val="BA6F7872"/>
    <w:rsid w:val="BBEE832B"/>
    <w:rsid w:val="BCFA10EB"/>
    <w:rsid w:val="BDDF69CB"/>
    <w:rsid w:val="BDF705C8"/>
    <w:rsid w:val="BE3FA16F"/>
    <w:rsid w:val="BEEA22CC"/>
    <w:rsid w:val="BEF74A4B"/>
    <w:rsid w:val="BF6FD28F"/>
    <w:rsid w:val="BF76D93B"/>
    <w:rsid w:val="BF77FCE7"/>
    <w:rsid w:val="BFBEBA7A"/>
    <w:rsid w:val="BFCF133F"/>
    <w:rsid w:val="BFD826B2"/>
    <w:rsid w:val="BFEB8800"/>
    <w:rsid w:val="BFFD0155"/>
    <w:rsid w:val="BFFD16B1"/>
    <w:rsid w:val="C19FA8A0"/>
    <w:rsid w:val="C7F64AFA"/>
    <w:rsid w:val="C7F9625D"/>
    <w:rsid w:val="C9F38C19"/>
    <w:rsid w:val="CAF6DFFE"/>
    <w:rsid w:val="CB0FD924"/>
    <w:rsid w:val="CFCF1B55"/>
    <w:rsid w:val="CFEE2A4E"/>
    <w:rsid w:val="CFFF9B4B"/>
    <w:rsid w:val="D3B5AE81"/>
    <w:rsid w:val="D57FB838"/>
    <w:rsid w:val="D5DFDF72"/>
    <w:rsid w:val="D676F5FD"/>
    <w:rsid w:val="D77BFCBC"/>
    <w:rsid w:val="D89F12DD"/>
    <w:rsid w:val="D9FE3367"/>
    <w:rsid w:val="DB77D920"/>
    <w:rsid w:val="DB7FED37"/>
    <w:rsid w:val="DBBDE11E"/>
    <w:rsid w:val="DBDF76F9"/>
    <w:rsid w:val="DBFFDBD1"/>
    <w:rsid w:val="DD3F6BD9"/>
    <w:rsid w:val="DD4B44F7"/>
    <w:rsid w:val="DD9F74F6"/>
    <w:rsid w:val="DDC8BB92"/>
    <w:rsid w:val="DDE9C048"/>
    <w:rsid w:val="DDEEC99D"/>
    <w:rsid w:val="DEFB6EA3"/>
    <w:rsid w:val="DF7AFF0C"/>
    <w:rsid w:val="DF9B2970"/>
    <w:rsid w:val="DF9D2DAC"/>
    <w:rsid w:val="DFCB59F4"/>
    <w:rsid w:val="DFCD2A79"/>
    <w:rsid w:val="DFE44A06"/>
    <w:rsid w:val="DFE6A9AD"/>
    <w:rsid w:val="DFEB6047"/>
    <w:rsid w:val="DFFD62FD"/>
    <w:rsid w:val="E3FBA216"/>
    <w:rsid w:val="E4EECD8D"/>
    <w:rsid w:val="E5F4296D"/>
    <w:rsid w:val="E73EBB22"/>
    <w:rsid w:val="E77FAB7A"/>
    <w:rsid w:val="E7BC5A6A"/>
    <w:rsid w:val="E7BFD4C4"/>
    <w:rsid w:val="E7F6DE88"/>
    <w:rsid w:val="E9BD832B"/>
    <w:rsid w:val="E9DB274F"/>
    <w:rsid w:val="E9DF1C64"/>
    <w:rsid w:val="E9ED889B"/>
    <w:rsid w:val="EAF56BBE"/>
    <w:rsid w:val="EAFF8E1F"/>
    <w:rsid w:val="EB4FF3E7"/>
    <w:rsid w:val="EB7F1333"/>
    <w:rsid w:val="EBBE05CC"/>
    <w:rsid w:val="EBFB99F9"/>
    <w:rsid w:val="EBFD5CF5"/>
    <w:rsid w:val="ECDDEA91"/>
    <w:rsid w:val="EDD744DB"/>
    <w:rsid w:val="EDEFB7CF"/>
    <w:rsid w:val="EEE0C65F"/>
    <w:rsid w:val="EEF4126C"/>
    <w:rsid w:val="EF3817E0"/>
    <w:rsid w:val="EF3FF1F7"/>
    <w:rsid w:val="EF7EDD11"/>
    <w:rsid w:val="EF7F1C47"/>
    <w:rsid w:val="EF7F95D7"/>
    <w:rsid w:val="EF9D15F5"/>
    <w:rsid w:val="EF9DD5D6"/>
    <w:rsid w:val="EFBDCE52"/>
    <w:rsid w:val="EFDA400A"/>
    <w:rsid w:val="EFDEAF0A"/>
    <w:rsid w:val="EFEE7A28"/>
    <w:rsid w:val="EFEF9EDD"/>
    <w:rsid w:val="EFF45C1E"/>
    <w:rsid w:val="F0BAD979"/>
    <w:rsid w:val="F1E7FC76"/>
    <w:rsid w:val="F27FA517"/>
    <w:rsid w:val="F28E4FBB"/>
    <w:rsid w:val="F2D75B8D"/>
    <w:rsid w:val="F2ED6F1C"/>
    <w:rsid w:val="F2EFCBEE"/>
    <w:rsid w:val="F2FDDA44"/>
    <w:rsid w:val="F2FF192B"/>
    <w:rsid w:val="F32F261B"/>
    <w:rsid w:val="F3FFFBAC"/>
    <w:rsid w:val="F48783D7"/>
    <w:rsid w:val="F57B104C"/>
    <w:rsid w:val="F57F349C"/>
    <w:rsid w:val="F586B7D8"/>
    <w:rsid w:val="F5E71FF3"/>
    <w:rsid w:val="F5F74F36"/>
    <w:rsid w:val="F5F9B1DE"/>
    <w:rsid w:val="F6CFEB86"/>
    <w:rsid w:val="F6DBCE19"/>
    <w:rsid w:val="F76D076D"/>
    <w:rsid w:val="F77558A5"/>
    <w:rsid w:val="F7A67313"/>
    <w:rsid w:val="F7AA24CC"/>
    <w:rsid w:val="F7BBCC63"/>
    <w:rsid w:val="F7BDF888"/>
    <w:rsid w:val="F7C6039E"/>
    <w:rsid w:val="F7C7EBC7"/>
    <w:rsid w:val="F7EAC53C"/>
    <w:rsid w:val="F7F9CFE0"/>
    <w:rsid w:val="F7FF9550"/>
    <w:rsid w:val="F9C3FAEC"/>
    <w:rsid w:val="F9D64BCA"/>
    <w:rsid w:val="F9FD6D16"/>
    <w:rsid w:val="F9FF2785"/>
    <w:rsid w:val="FA1F87BA"/>
    <w:rsid w:val="FA5BE8DC"/>
    <w:rsid w:val="FA79B65A"/>
    <w:rsid w:val="FAFF45FC"/>
    <w:rsid w:val="FAFF99F2"/>
    <w:rsid w:val="FBAE2926"/>
    <w:rsid w:val="FBAF95FF"/>
    <w:rsid w:val="FBAFC4F8"/>
    <w:rsid w:val="FBAFC974"/>
    <w:rsid w:val="FBD7F66B"/>
    <w:rsid w:val="FBDFD212"/>
    <w:rsid w:val="FBE9DD83"/>
    <w:rsid w:val="FBF7F5B3"/>
    <w:rsid w:val="FC8DCD41"/>
    <w:rsid w:val="FCB74069"/>
    <w:rsid w:val="FCFE200E"/>
    <w:rsid w:val="FDB73168"/>
    <w:rsid w:val="FDB90D11"/>
    <w:rsid w:val="FDDDC005"/>
    <w:rsid w:val="FDDF01DE"/>
    <w:rsid w:val="FDE44B84"/>
    <w:rsid w:val="FDF363A8"/>
    <w:rsid w:val="FDF71F86"/>
    <w:rsid w:val="FDFB3053"/>
    <w:rsid w:val="FDFF688F"/>
    <w:rsid w:val="FE3D12E3"/>
    <w:rsid w:val="FE6F9756"/>
    <w:rsid w:val="FE77D6BA"/>
    <w:rsid w:val="FE8FD89F"/>
    <w:rsid w:val="FECF570C"/>
    <w:rsid w:val="FED542C6"/>
    <w:rsid w:val="FEEE464F"/>
    <w:rsid w:val="FEF3562E"/>
    <w:rsid w:val="FEFA0B24"/>
    <w:rsid w:val="FEFE2FE5"/>
    <w:rsid w:val="FF065F35"/>
    <w:rsid w:val="FF1D4FC4"/>
    <w:rsid w:val="FF270FDA"/>
    <w:rsid w:val="FF35D8EE"/>
    <w:rsid w:val="FF398269"/>
    <w:rsid w:val="FF7F1553"/>
    <w:rsid w:val="FF7F688C"/>
    <w:rsid w:val="FFA7B914"/>
    <w:rsid w:val="FFAFBD81"/>
    <w:rsid w:val="FFBDDE5A"/>
    <w:rsid w:val="FFBEB18C"/>
    <w:rsid w:val="FFBF4A5E"/>
    <w:rsid w:val="FFCFB434"/>
    <w:rsid w:val="FFD103BA"/>
    <w:rsid w:val="FFD78713"/>
    <w:rsid w:val="FFDEE341"/>
    <w:rsid w:val="FFDFB2CE"/>
    <w:rsid w:val="FFDFC259"/>
    <w:rsid w:val="FFE172F4"/>
    <w:rsid w:val="FFE63019"/>
    <w:rsid w:val="FFEF1CD5"/>
    <w:rsid w:val="FFF7145D"/>
    <w:rsid w:val="FFF74E42"/>
    <w:rsid w:val="FFF98477"/>
    <w:rsid w:val="FFFB04CF"/>
    <w:rsid w:val="FFFE73B9"/>
    <w:rsid w:val="FFFE804F"/>
    <w:rsid w:val="FFFF72C7"/>
    <w:rsid w:val="FFFFF7F4"/>
    <w:rsid w:val="FFFFFB8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99" w:semiHidden="0" w:name="index 1"/>
    <w:lsdException w:qFormat="1" w:unhideWhenUsed="0" w:uiPriority="99" w:semiHidden="0" w:name="index 2"/>
    <w:lsdException w:qFormat="1" w:unhideWhenUsed="0" w:uiPriority="99" w:semiHidden="0" w:name="index 3"/>
    <w:lsdException w:qFormat="1" w:unhideWhenUsed="0" w:uiPriority="99" w:semiHidden="0" w:name="index 4"/>
    <w:lsdException w:qFormat="1" w:unhideWhenUsed="0" w:uiPriority="99" w:semiHidden="0" w:name="index 5"/>
    <w:lsdException w:qFormat="1" w:unhideWhenUsed="0" w:uiPriority="99" w:semiHidden="0" w:name="index 6"/>
    <w:lsdException w:qFormat="1" w:unhideWhenUsed="0" w:uiPriority="99" w:semiHidden="0" w:name="index 7"/>
    <w:lsdException w:qFormat="1" w:unhideWhenUsed="0" w:uiPriority="99" w:semiHidden="0" w:name="index 8"/>
    <w:lsdException w:qFormat="1" w:unhideWhenUsed="0" w:uiPriority="99"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qFormat="1" w:unhideWhenUsed="0" w:uiPriority="0" w:semiHidden="0" w:name="Normal Indent"/>
    <w:lsdException w:qFormat="1" w:unhideWhenUsed="0" w:uiPriority="0" w:name="footnote text"/>
    <w:lsdException w:qFormat="1" w:unhideWhenUsed="0" w:uiPriority="99"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qFormat="1" w:unhideWhenUsed="0" w:uiPriority="99" w:name="annotation reference"/>
    <w:lsdException w:qFormat="1"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qFormat="1"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99"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zh-CN" w:bidi="ar-SA"/>
    </w:rPr>
  </w:style>
  <w:style w:type="paragraph" w:styleId="2">
    <w:name w:val="heading 1"/>
    <w:basedOn w:val="1"/>
    <w:next w:val="1"/>
    <w:link w:val="64"/>
    <w:qFormat/>
    <w:uiPriority w:val="0"/>
    <w:pPr>
      <w:numPr>
        <w:ilvl w:val="0"/>
        <w:numId w:val="1"/>
      </w:numPr>
      <w:spacing w:before="200" w:after="180"/>
      <w:outlineLvl w:val="0"/>
    </w:pPr>
    <w:rPr>
      <w:rFonts w:ascii="Arial" w:eastAsia="黑体"/>
      <w:kern w:val="44"/>
      <w:szCs w:val="20"/>
    </w:rPr>
  </w:style>
  <w:style w:type="paragraph" w:styleId="3">
    <w:name w:val="heading 2"/>
    <w:basedOn w:val="1"/>
    <w:next w:val="1"/>
    <w:link w:val="65"/>
    <w:qFormat/>
    <w:uiPriority w:val="0"/>
    <w:pPr>
      <w:numPr>
        <w:ilvl w:val="1"/>
        <w:numId w:val="1"/>
      </w:numPr>
      <w:outlineLvl w:val="1"/>
    </w:pPr>
    <w:rPr>
      <w:szCs w:val="20"/>
    </w:rPr>
  </w:style>
  <w:style w:type="paragraph" w:styleId="4">
    <w:name w:val="heading 3"/>
    <w:basedOn w:val="1"/>
    <w:next w:val="1"/>
    <w:link w:val="187"/>
    <w:qFormat/>
    <w:uiPriority w:val="0"/>
    <w:pPr>
      <w:numPr>
        <w:ilvl w:val="2"/>
        <w:numId w:val="1"/>
      </w:numPr>
      <w:outlineLvl w:val="2"/>
    </w:pPr>
  </w:style>
  <w:style w:type="paragraph" w:styleId="5">
    <w:name w:val="heading 4"/>
    <w:basedOn w:val="4"/>
    <w:next w:val="1"/>
    <w:qFormat/>
    <w:uiPriority w:val="0"/>
    <w:pPr>
      <w:numPr>
        <w:ilvl w:val="3"/>
      </w:numPr>
      <w:outlineLvl w:val="3"/>
    </w:pPr>
  </w:style>
  <w:style w:type="paragraph" w:styleId="6">
    <w:name w:val="heading 5"/>
    <w:basedOn w:val="1"/>
    <w:next w:val="1"/>
    <w:qFormat/>
    <w:uiPriority w:val="0"/>
    <w:pPr>
      <w:numPr>
        <w:ilvl w:val="4"/>
        <w:numId w:val="1"/>
      </w:numPr>
      <w:outlineLvl w:val="4"/>
    </w:pPr>
  </w:style>
  <w:style w:type="paragraph" w:styleId="7">
    <w:name w:val="heading 6"/>
    <w:basedOn w:val="1"/>
    <w:next w:val="1"/>
    <w:qFormat/>
    <w:uiPriority w:val="0"/>
    <w:pPr>
      <w:numPr>
        <w:ilvl w:val="5"/>
        <w:numId w:val="1"/>
      </w:numPr>
      <w:outlineLvl w:val="5"/>
    </w:pPr>
  </w:style>
  <w:style w:type="paragraph" w:styleId="8">
    <w:name w:val="heading 7"/>
    <w:basedOn w:val="1"/>
    <w:next w:val="1"/>
    <w:link w:val="66"/>
    <w:qFormat/>
    <w:uiPriority w:val="0"/>
    <w:pPr>
      <w:numPr>
        <w:ilvl w:val="6"/>
        <w:numId w:val="1"/>
      </w:numPr>
      <w:outlineLvl w:val="6"/>
    </w:pPr>
    <w:rPr>
      <w:szCs w:val="20"/>
    </w:rPr>
  </w:style>
  <w:style w:type="paragraph" w:styleId="9">
    <w:name w:val="heading 8"/>
    <w:basedOn w:val="1"/>
    <w:next w:val="1"/>
    <w:link w:val="67"/>
    <w:qFormat/>
    <w:uiPriority w:val="0"/>
    <w:pPr>
      <w:numPr>
        <w:ilvl w:val="7"/>
        <w:numId w:val="1"/>
      </w:numPr>
      <w:outlineLvl w:val="7"/>
    </w:pPr>
    <w:rPr>
      <w:szCs w:val="20"/>
    </w:rPr>
  </w:style>
  <w:style w:type="paragraph" w:styleId="10">
    <w:name w:val="heading 9"/>
    <w:basedOn w:val="1"/>
    <w:next w:val="1"/>
    <w:qFormat/>
    <w:uiPriority w:val="0"/>
    <w:pPr>
      <w:numPr>
        <w:ilvl w:val="8"/>
        <w:numId w:val="1"/>
      </w:numPr>
      <w:outlineLvl w:val="8"/>
    </w:pPr>
  </w:style>
  <w:style w:type="character" w:default="1" w:styleId="54">
    <w:name w:val="Default Paragraph Font"/>
    <w:unhideWhenUsed/>
    <w:qFormat/>
    <w:uiPriority w:val="1"/>
  </w:style>
  <w:style w:type="table" w:default="1" w:styleId="52">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99"/>
    <w:pPr>
      <w:tabs>
        <w:tab w:val="right" w:leader="dot" w:pos="9525"/>
      </w:tabs>
      <w:ind w:left="1260"/>
    </w:pPr>
  </w:style>
  <w:style w:type="paragraph" w:styleId="12">
    <w:name w:val="index 8"/>
    <w:basedOn w:val="1"/>
    <w:next w:val="1"/>
    <w:qFormat/>
    <w:uiPriority w:val="99"/>
    <w:pPr>
      <w:widowControl w:val="0"/>
      <w:ind w:left="1400" w:leftChars="1400"/>
      <w:jc w:val="both"/>
    </w:pPr>
    <w:rPr>
      <w:kern w:val="2"/>
      <w:sz w:val="21"/>
      <w:szCs w:val="21"/>
    </w:rPr>
  </w:style>
  <w:style w:type="paragraph" w:styleId="13">
    <w:name w:val="Normal Indent"/>
    <w:basedOn w:val="1"/>
    <w:link w:val="68"/>
    <w:qFormat/>
    <w:uiPriority w:val="0"/>
    <w:pPr>
      <w:ind w:firstLine="482"/>
    </w:pPr>
    <w:rPr>
      <w:szCs w:val="20"/>
    </w:rPr>
  </w:style>
  <w:style w:type="paragraph" w:styleId="14">
    <w:name w:val="caption"/>
    <w:basedOn w:val="1"/>
    <w:next w:val="1"/>
    <w:qFormat/>
    <w:uiPriority w:val="0"/>
    <w:pPr>
      <w:spacing w:before="152" w:after="160"/>
    </w:pPr>
    <w:rPr>
      <w:rFonts w:ascii="Arial" w:hAnsi="Arial" w:eastAsia="黑体"/>
    </w:rPr>
  </w:style>
  <w:style w:type="paragraph" w:styleId="15">
    <w:name w:val="index 5"/>
    <w:basedOn w:val="1"/>
    <w:next w:val="1"/>
    <w:qFormat/>
    <w:uiPriority w:val="99"/>
    <w:pPr>
      <w:widowControl w:val="0"/>
      <w:ind w:left="800" w:leftChars="800"/>
      <w:jc w:val="both"/>
    </w:pPr>
    <w:rPr>
      <w:kern w:val="2"/>
      <w:sz w:val="21"/>
      <w:szCs w:val="21"/>
    </w:rPr>
  </w:style>
  <w:style w:type="paragraph" w:styleId="16">
    <w:name w:val="Document Map"/>
    <w:basedOn w:val="1"/>
    <w:link w:val="69"/>
    <w:qFormat/>
    <w:uiPriority w:val="0"/>
    <w:rPr>
      <w:rFonts w:ascii="宋体"/>
    </w:rPr>
  </w:style>
  <w:style w:type="paragraph" w:styleId="17">
    <w:name w:val="toa heading"/>
    <w:basedOn w:val="1"/>
    <w:next w:val="1"/>
    <w:semiHidden/>
    <w:qFormat/>
    <w:uiPriority w:val="0"/>
    <w:pPr>
      <w:spacing w:before="200"/>
      <w:jc w:val="center"/>
    </w:pPr>
    <w:rPr>
      <w:rFonts w:ascii="Arial" w:hAnsi="Arial" w:eastAsia="黑体"/>
      <w:sz w:val="44"/>
    </w:rPr>
  </w:style>
  <w:style w:type="paragraph" w:styleId="18">
    <w:name w:val="annotation text"/>
    <w:basedOn w:val="1"/>
    <w:link w:val="70"/>
    <w:semiHidden/>
    <w:qFormat/>
    <w:uiPriority w:val="99"/>
    <w:rPr>
      <w:szCs w:val="20"/>
    </w:rPr>
  </w:style>
  <w:style w:type="paragraph" w:styleId="19">
    <w:name w:val="index 6"/>
    <w:basedOn w:val="1"/>
    <w:next w:val="1"/>
    <w:qFormat/>
    <w:uiPriority w:val="99"/>
    <w:pPr>
      <w:widowControl w:val="0"/>
      <w:ind w:left="1000" w:leftChars="1000"/>
      <w:jc w:val="both"/>
    </w:pPr>
    <w:rPr>
      <w:kern w:val="2"/>
      <w:sz w:val="21"/>
      <w:szCs w:val="21"/>
    </w:rPr>
  </w:style>
  <w:style w:type="paragraph" w:styleId="20">
    <w:name w:val="Body Text 3"/>
    <w:basedOn w:val="1"/>
    <w:link w:val="71"/>
    <w:unhideWhenUsed/>
    <w:qFormat/>
    <w:uiPriority w:val="0"/>
    <w:pPr>
      <w:widowControl w:val="0"/>
      <w:spacing w:after="120"/>
      <w:jc w:val="both"/>
    </w:pPr>
    <w:rPr>
      <w:rFonts w:ascii="Calibri" w:hAnsi="Calibri"/>
      <w:kern w:val="2"/>
      <w:sz w:val="16"/>
      <w:szCs w:val="16"/>
    </w:rPr>
  </w:style>
  <w:style w:type="paragraph" w:styleId="21">
    <w:name w:val="Body Text"/>
    <w:basedOn w:val="1"/>
    <w:link w:val="72"/>
    <w:qFormat/>
    <w:uiPriority w:val="0"/>
    <w:pPr>
      <w:spacing w:after="60"/>
      <w:ind w:left="72" w:leftChars="30" w:right="72" w:rightChars="30"/>
      <w:jc w:val="center"/>
    </w:pPr>
    <w:rPr>
      <w:sz w:val="21"/>
      <w:szCs w:val="20"/>
    </w:rPr>
  </w:style>
  <w:style w:type="paragraph" w:styleId="22">
    <w:name w:val="Body Text Indent"/>
    <w:basedOn w:val="1"/>
    <w:link w:val="73"/>
    <w:qFormat/>
    <w:uiPriority w:val="0"/>
    <w:pPr>
      <w:spacing w:after="60"/>
      <w:ind w:left="30" w:leftChars="30" w:right="30" w:rightChars="30"/>
      <w:jc w:val="center"/>
    </w:pPr>
    <w:rPr>
      <w:rFonts w:ascii="Arial" w:hAnsi="Arial" w:eastAsia="黑体"/>
      <w:sz w:val="21"/>
      <w:szCs w:val="20"/>
    </w:rPr>
  </w:style>
  <w:style w:type="paragraph" w:styleId="23">
    <w:name w:val="index 4"/>
    <w:basedOn w:val="1"/>
    <w:next w:val="1"/>
    <w:qFormat/>
    <w:uiPriority w:val="99"/>
    <w:pPr>
      <w:widowControl w:val="0"/>
      <w:ind w:left="600" w:leftChars="600"/>
      <w:jc w:val="both"/>
    </w:pPr>
    <w:rPr>
      <w:kern w:val="2"/>
      <w:sz w:val="21"/>
      <w:szCs w:val="21"/>
    </w:rPr>
  </w:style>
  <w:style w:type="paragraph" w:styleId="24">
    <w:name w:val="toc 5"/>
    <w:basedOn w:val="1"/>
    <w:next w:val="1"/>
    <w:qFormat/>
    <w:uiPriority w:val="99"/>
    <w:pPr>
      <w:tabs>
        <w:tab w:val="right" w:leader="dot" w:pos="9525"/>
      </w:tabs>
      <w:ind w:left="840"/>
    </w:pPr>
  </w:style>
  <w:style w:type="paragraph" w:styleId="25">
    <w:name w:val="toc 3"/>
    <w:basedOn w:val="1"/>
    <w:next w:val="1"/>
    <w:qFormat/>
    <w:uiPriority w:val="39"/>
    <w:pPr>
      <w:tabs>
        <w:tab w:val="right" w:leader="dot" w:pos="9525"/>
      </w:tabs>
    </w:pPr>
  </w:style>
  <w:style w:type="paragraph" w:styleId="26">
    <w:name w:val="Plain Text"/>
    <w:basedOn w:val="1"/>
    <w:link w:val="74"/>
    <w:qFormat/>
    <w:uiPriority w:val="99"/>
    <w:rPr>
      <w:rFonts w:ascii="宋体" w:hAnsi="Courier New"/>
      <w:kern w:val="2"/>
      <w:sz w:val="21"/>
    </w:rPr>
  </w:style>
  <w:style w:type="paragraph" w:styleId="27">
    <w:name w:val="toc 8"/>
    <w:basedOn w:val="1"/>
    <w:next w:val="1"/>
    <w:qFormat/>
    <w:uiPriority w:val="99"/>
    <w:pPr>
      <w:tabs>
        <w:tab w:val="right" w:leader="dot" w:pos="9525"/>
      </w:tabs>
      <w:ind w:left="1470"/>
    </w:pPr>
  </w:style>
  <w:style w:type="paragraph" w:styleId="28">
    <w:name w:val="index 3"/>
    <w:basedOn w:val="1"/>
    <w:next w:val="1"/>
    <w:qFormat/>
    <w:uiPriority w:val="99"/>
    <w:pPr>
      <w:widowControl w:val="0"/>
      <w:ind w:left="400" w:leftChars="400"/>
      <w:jc w:val="both"/>
    </w:pPr>
    <w:rPr>
      <w:kern w:val="2"/>
      <w:sz w:val="21"/>
      <w:szCs w:val="21"/>
    </w:rPr>
  </w:style>
  <w:style w:type="paragraph" w:styleId="29">
    <w:name w:val="Date"/>
    <w:basedOn w:val="1"/>
    <w:next w:val="1"/>
    <w:qFormat/>
    <w:uiPriority w:val="0"/>
    <w:pPr>
      <w:ind w:left="100" w:leftChars="2500"/>
    </w:pPr>
  </w:style>
  <w:style w:type="paragraph" w:styleId="30">
    <w:name w:val="Body Text Indent 2"/>
    <w:basedOn w:val="1"/>
    <w:qFormat/>
    <w:uiPriority w:val="0"/>
    <w:pPr>
      <w:spacing w:line="480" w:lineRule="exact"/>
      <w:ind w:firstLine="480" w:firstLineChars="200"/>
    </w:pPr>
    <w:rPr>
      <w:kern w:val="2"/>
    </w:rPr>
  </w:style>
  <w:style w:type="paragraph" w:styleId="31">
    <w:name w:val="Balloon Text"/>
    <w:basedOn w:val="1"/>
    <w:link w:val="75"/>
    <w:qFormat/>
    <w:uiPriority w:val="99"/>
    <w:rPr>
      <w:sz w:val="18"/>
      <w:szCs w:val="18"/>
    </w:rPr>
  </w:style>
  <w:style w:type="paragraph" w:styleId="32">
    <w:name w:val="footer"/>
    <w:basedOn w:val="1"/>
    <w:link w:val="76"/>
    <w:qFormat/>
    <w:uiPriority w:val="99"/>
    <w:pPr>
      <w:spacing w:line="240" w:lineRule="atLeast"/>
      <w:ind w:left="255" w:right="255"/>
    </w:pPr>
    <w:rPr>
      <w:szCs w:val="20"/>
    </w:rPr>
  </w:style>
  <w:style w:type="paragraph" w:styleId="33">
    <w:name w:val="header"/>
    <w:basedOn w:val="1"/>
    <w:link w:val="77"/>
    <w:qFormat/>
    <w:uiPriority w:val="0"/>
    <w:pPr>
      <w:pBdr>
        <w:bottom w:val="double" w:color="auto" w:sz="6" w:space="2"/>
      </w:pBdr>
      <w:spacing w:line="240" w:lineRule="atLeast"/>
      <w:jc w:val="center"/>
    </w:pPr>
    <w:rPr>
      <w:b/>
      <w:sz w:val="21"/>
      <w:szCs w:val="20"/>
    </w:rPr>
  </w:style>
  <w:style w:type="paragraph" w:styleId="34">
    <w:name w:val="toc 1"/>
    <w:basedOn w:val="1"/>
    <w:next w:val="1"/>
    <w:qFormat/>
    <w:uiPriority w:val="39"/>
    <w:pPr>
      <w:tabs>
        <w:tab w:val="right" w:leader="dot" w:pos="9525"/>
      </w:tabs>
      <w:spacing w:before="160"/>
    </w:pPr>
    <w:rPr>
      <w:rFonts w:ascii="Arial" w:eastAsia="黑体"/>
    </w:rPr>
  </w:style>
  <w:style w:type="paragraph" w:styleId="35">
    <w:name w:val="toc 4"/>
    <w:basedOn w:val="1"/>
    <w:next w:val="1"/>
    <w:qFormat/>
    <w:uiPriority w:val="99"/>
    <w:pPr>
      <w:tabs>
        <w:tab w:val="right" w:leader="dot" w:pos="9525"/>
      </w:tabs>
      <w:ind w:left="630"/>
    </w:pPr>
  </w:style>
  <w:style w:type="paragraph" w:styleId="36">
    <w:name w:val="index heading"/>
    <w:basedOn w:val="1"/>
    <w:next w:val="37"/>
    <w:qFormat/>
    <w:uiPriority w:val="99"/>
    <w:pPr>
      <w:widowControl w:val="0"/>
      <w:jc w:val="both"/>
    </w:pPr>
    <w:rPr>
      <w:kern w:val="2"/>
      <w:sz w:val="21"/>
      <w:szCs w:val="21"/>
    </w:rPr>
  </w:style>
  <w:style w:type="paragraph" w:styleId="37">
    <w:name w:val="index 1"/>
    <w:basedOn w:val="1"/>
    <w:next w:val="1"/>
    <w:qFormat/>
    <w:uiPriority w:val="99"/>
    <w:pPr>
      <w:widowControl w:val="0"/>
      <w:jc w:val="both"/>
    </w:pPr>
    <w:rPr>
      <w:kern w:val="2"/>
      <w:sz w:val="21"/>
      <w:szCs w:val="21"/>
    </w:rPr>
  </w:style>
  <w:style w:type="paragraph" w:styleId="38">
    <w:name w:val="Subtitle"/>
    <w:basedOn w:val="1"/>
    <w:link w:val="78"/>
    <w:qFormat/>
    <w:uiPriority w:val="0"/>
    <w:pPr>
      <w:spacing w:after="60"/>
      <w:jc w:val="center"/>
    </w:pPr>
    <w:rPr>
      <w:rFonts w:ascii="Arial" w:hAnsi="Arial" w:eastAsia="黑体"/>
      <w:i/>
    </w:rPr>
  </w:style>
  <w:style w:type="paragraph" w:styleId="39">
    <w:name w:val="List"/>
    <w:basedOn w:val="1"/>
    <w:qFormat/>
    <w:uiPriority w:val="0"/>
    <w:pPr>
      <w:ind w:left="420" w:hanging="420"/>
    </w:pPr>
    <w:rPr>
      <w:kern w:val="2"/>
      <w:sz w:val="21"/>
    </w:rPr>
  </w:style>
  <w:style w:type="paragraph" w:styleId="40">
    <w:name w:val="footnote text"/>
    <w:basedOn w:val="1"/>
    <w:semiHidden/>
    <w:qFormat/>
    <w:uiPriority w:val="0"/>
    <w:rPr>
      <w:sz w:val="18"/>
    </w:rPr>
  </w:style>
  <w:style w:type="paragraph" w:styleId="41">
    <w:name w:val="toc 6"/>
    <w:basedOn w:val="1"/>
    <w:next w:val="1"/>
    <w:qFormat/>
    <w:uiPriority w:val="99"/>
    <w:pPr>
      <w:tabs>
        <w:tab w:val="right" w:leader="dot" w:pos="9525"/>
      </w:tabs>
      <w:ind w:left="1050"/>
    </w:pPr>
  </w:style>
  <w:style w:type="paragraph" w:styleId="42">
    <w:name w:val="Body Text Indent 3"/>
    <w:basedOn w:val="1"/>
    <w:link w:val="79"/>
    <w:qFormat/>
    <w:uiPriority w:val="0"/>
    <w:pPr>
      <w:spacing w:after="120"/>
      <w:ind w:left="420" w:leftChars="200"/>
    </w:pPr>
    <w:rPr>
      <w:sz w:val="16"/>
      <w:szCs w:val="16"/>
    </w:rPr>
  </w:style>
  <w:style w:type="paragraph" w:styleId="43">
    <w:name w:val="index 7"/>
    <w:basedOn w:val="1"/>
    <w:next w:val="1"/>
    <w:qFormat/>
    <w:uiPriority w:val="99"/>
    <w:pPr>
      <w:widowControl w:val="0"/>
      <w:ind w:left="1200" w:leftChars="1200"/>
      <w:jc w:val="both"/>
    </w:pPr>
    <w:rPr>
      <w:kern w:val="2"/>
      <w:sz w:val="21"/>
      <w:szCs w:val="21"/>
    </w:rPr>
  </w:style>
  <w:style w:type="paragraph" w:styleId="44">
    <w:name w:val="index 9"/>
    <w:basedOn w:val="1"/>
    <w:next w:val="1"/>
    <w:qFormat/>
    <w:uiPriority w:val="99"/>
    <w:pPr>
      <w:widowControl w:val="0"/>
      <w:ind w:left="1600" w:leftChars="1600"/>
      <w:jc w:val="both"/>
    </w:pPr>
    <w:rPr>
      <w:kern w:val="2"/>
      <w:sz w:val="21"/>
      <w:szCs w:val="21"/>
    </w:rPr>
  </w:style>
  <w:style w:type="paragraph" w:styleId="45">
    <w:name w:val="toc 2"/>
    <w:basedOn w:val="1"/>
    <w:next w:val="1"/>
    <w:qFormat/>
    <w:uiPriority w:val="39"/>
    <w:pPr>
      <w:tabs>
        <w:tab w:val="right" w:leader="dot" w:pos="9525"/>
      </w:tabs>
    </w:pPr>
  </w:style>
  <w:style w:type="paragraph" w:styleId="46">
    <w:name w:val="toc 9"/>
    <w:basedOn w:val="1"/>
    <w:next w:val="1"/>
    <w:qFormat/>
    <w:uiPriority w:val="99"/>
    <w:pPr>
      <w:tabs>
        <w:tab w:val="right" w:leader="dot" w:pos="9525"/>
      </w:tabs>
      <w:ind w:left="1680"/>
    </w:pPr>
  </w:style>
  <w:style w:type="paragraph" w:styleId="47">
    <w:name w:val="Normal (Web)"/>
    <w:basedOn w:val="1"/>
    <w:unhideWhenUsed/>
    <w:qFormat/>
    <w:uiPriority w:val="99"/>
    <w:pPr>
      <w:spacing w:before="100" w:beforeAutospacing="1" w:after="100" w:afterAutospacing="1"/>
    </w:pPr>
    <w:rPr>
      <w:rFonts w:ascii="宋体" w:hAnsi="宋体" w:cs="宋体"/>
    </w:rPr>
  </w:style>
  <w:style w:type="paragraph" w:styleId="48">
    <w:name w:val="index 2"/>
    <w:basedOn w:val="1"/>
    <w:next w:val="1"/>
    <w:qFormat/>
    <w:uiPriority w:val="99"/>
    <w:pPr>
      <w:widowControl w:val="0"/>
      <w:ind w:left="200" w:leftChars="200"/>
      <w:jc w:val="both"/>
    </w:pPr>
    <w:rPr>
      <w:kern w:val="2"/>
      <w:sz w:val="21"/>
      <w:szCs w:val="21"/>
    </w:rPr>
  </w:style>
  <w:style w:type="paragraph" w:styleId="49">
    <w:name w:val="Title"/>
    <w:basedOn w:val="1"/>
    <w:next w:val="1"/>
    <w:link w:val="189"/>
    <w:qFormat/>
    <w:uiPriority w:val="0"/>
    <w:pPr>
      <w:widowControl w:val="0"/>
      <w:spacing w:before="240" w:after="60"/>
      <w:jc w:val="center"/>
      <w:outlineLvl w:val="0"/>
    </w:pPr>
    <w:rPr>
      <w:rFonts w:ascii="Cambria" w:hAnsi="Cambria" w:cs="Cambria"/>
      <w:b/>
      <w:bCs/>
      <w:sz w:val="32"/>
      <w:szCs w:val="32"/>
    </w:rPr>
  </w:style>
  <w:style w:type="paragraph" w:styleId="50">
    <w:name w:val="annotation subject"/>
    <w:basedOn w:val="18"/>
    <w:next w:val="18"/>
    <w:semiHidden/>
    <w:qFormat/>
    <w:uiPriority w:val="0"/>
    <w:rPr>
      <w:b/>
      <w:bCs/>
    </w:rPr>
  </w:style>
  <w:style w:type="paragraph" w:styleId="51">
    <w:name w:val="Body Text First Indent"/>
    <w:basedOn w:val="21"/>
    <w:link w:val="80"/>
    <w:unhideWhenUsed/>
    <w:qFormat/>
    <w:uiPriority w:val="99"/>
    <w:pPr>
      <w:spacing w:after="120"/>
      <w:ind w:left="0" w:leftChars="0" w:right="0" w:rightChars="0" w:firstLine="420" w:firstLineChars="100"/>
      <w:jc w:val="both"/>
    </w:pPr>
    <w:rPr>
      <w:kern w:val="2"/>
    </w:rPr>
  </w:style>
  <w:style w:type="table" w:styleId="53">
    <w:name w:val="Table Grid"/>
    <w:basedOn w:val="5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55">
    <w:name w:val="Strong"/>
    <w:qFormat/>
    <w:uiPriority w:val="0"/>
    <w:rPr>
      <w:b/>
      <w:bCs/>
    </w:rPr>
  </w:style>
  <w:style w:type="character" w:styleId="56">
    <w:name w:val="page number"/>
    <w:qFormat/>
    <w:uiPriority w:val="0"/>
  </w:style>
  <w:style w:type="character" w:styleId="57">
    <w:name w:val="FollowedHyperlink"/>
    <w:unhideWhenUsed/>
    <w:qFormat/>
    <w:uiPriority w:val="99"/>
    <w:rPr>
      <w:color w:val="954F72"/>
      <w:u w:val="single"/>
    </w:rPr>
  </w:style>
  <w:style w:type="character" w:styleId="58">
    <w:name w:val="Emphasis"/>
    <w:qFormat/>
    <w:uiPriority w:val="20"/>
    <w:rPr>
      <w:i/>
      <w:iCs/>
    </w:rPr>
  </w:style>
  <w:style w:type="character" w:styleId="59">
    <w:name w:val="line number"/>
    <w:qFormat/>
    <w:uiPriority w:val="0"/>
  </w:style>
  <w:style w:type="character" w:styleId="60">
    <w:name w:val="Hyperlink"/>
    <w:qFormat/>
    <w:uiPriority w:val="99"/>
    <w:rPr>
      <w:color w:val="0000FF"/>
      <w:u w:val="single"/>
    </w:rPr>
  </w:style>
  <w:style w:type="character" w:styleId="61">
    <w:name w:val="annotation reference"/>
    <w:semiHidden/>
    <w:qFormat/>
    <w:uiPriority w:val="99"/>
    <w:rPr>
      <w:sz w:val="21"/>
      <w:szCs w:val="21"/>
    </w:rPr>
  </w:style>
  <w:style w:type="character" w:styleId="62">
    <w:name w:val="footnote reference"/>
    <w:semiHidden/>
    <w:qFormat/>
    <w:uiPriority w:val="0"/>
    <w:rPr>
      <w:vertAlign w:val="superscript"/>
    </w:rPr>
  </w:style>
  <w:style w:type="paragraph" w:customStyle="1" w:styleId="63">
    <w:name w:val="段"/>
    <w:next w:val="1"/>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64">
    <w:name w:val="标题 1 Char"/>
    <w:link w:val="2"/>
    <w:qFormat/>
    <w:uiPriority w:val="0"/>
    <w:rPr>
      <w:rFonts w:ascii="Arial" w:eastAsia="黑体"/>
      <w:kern w:val="44"/>
      <w:sz w:val="24"/>
    </w:rPr>
  </w:style>
  <w:style w:type="character" w:customStyle="1" w:styleId="65">
    <w:name w:val="标题 2 Char"/>
    <w:link w:val="3"/>
    <w:qFormat/>
    <w:uiPriority w:val="99"/>
    <w:rPr>
      <w:sz w:val="24"/>
    </w:rPr>
  </w:style>
  <w:style w:type="character" w:customStyle="1" w:styleId="66">
    <w:name w:val="标题 7 Char"/>
    <w:link w:val="8"/>
    <w:qFormat/>
    <w:uiPriority w:val="0"/>
    <w:rPr>
      <w:sz w:val="24"/>
    </w:rPr>
  </w:style>
  <w:style w:type="character" w:customStyle="1" w:styleId="67">
    <w:name w:val="标题 8 Char"/>
    <w:link w:val="9"/>
    <w:qFormat/>
    <w:uiPriority w:val="0"/>
    <w:rPr>
      <w:sz w:val="24"/>
    </w:rPr>
  </w:style>
  <w:style w:type="character" w:customStyle="1" w:styleId="68">
    <w:name w:val="正文缩进 Char1"/>
    <w:link w:val="13"/>
    <w:qFormat/>
    <w:uiPriority w:val="0"/>
    <w:rPr>
      <w:sz w:val="24"/>
    </w:rPr>
  </w:style>
  <w:style w:type="character" w:customStyle="1" w:styleId="69">
    <w:name w:val="文档结构图 Char"/>
    <w:link w:val="16"/>
    <w:qFormat/>
    <w:uiPriority w:val="0"/>
    <w:rPr>
      <w:rFonts w:ascii="宋体"/>
      <w:sz w:val="24"/>
      <w:szCs w:val="24"/>
    </w:rPr>
  </w:style>
  <w:style w:type="character" w:customStyle="1" w:styleId="70">
    <w:name w:val="批注文字 Char"/>
    <w:link w:val="18"/>
    <w:semiHidden/>
    <w:qFormat/>
    <w:uiPriority w:val="99"/>
    <w:rPr>
      <w:sz w:val="24"/>
    </w:rPr>
  </w:style>
  <w:style w:type="character" w:customStyle="1" w:styleId="71">
    <w:name w:val="正文文本 3 Char"/>
    <w:link w:val="20"/>
    <w:qFormat/>
    <w:uiPriority w:val="0"/>
    <w:rPr>
      <w:rFonts w:ascii="Calibri" w:hAnsi="Calibri"/>
      <w:kern w:val="2"/>
      <w:sz w:val="16"/>
      <w:szCs w:val="16"/>
    </w:rPr>
  </w:style>
  <w:style w:type="character" w:customStyle="1" w:styleId="72">
    <w:name w:val="正文文本 Char"/>
    <w:link w:val="21"/>
    <w:qFormat/>
    <w:uiPriority w:val="0"/>
    <w:rPr>
      <w:sz w:val="21"/>
    </w:rPr>
  </w:style>
  <w:style w:type="character" w:customStyle="1" w:styleId="73">
    <w:name w:val="正文文本缩进 Char"/>
    <w:link w:val="22"/>
    <w:qFormat/>
    <w:uiPriority w:val="0"/>
    <w:rPr>
      <w:rFonts w:ascii="Arial" w:hAnsi="Arial" w:eastAsia="黑体"/>
      <w:sz w:val="21"/>
    </w:rPr>
  </w:style>
  <w:style w:type="character" w:customStyle="1" w:styleId="74">
    <w:name w:val="纯文本 Char"/>
    <w:link w:val="26"/>
    <w:qFormat/>
    <w:uiPriority w:val="99"/>
    <w:rPr>
      <w:rFonts w:ascii="宋体" w:hAnsi="Courier New"/>
      <w:kern w:val="2"/>
      <w:sz w:val="21"/>
      <w:szCs w:val="24"/>
    </w:rPr>
  </w:style>
  <w:style w:type="character" w:customStyle="1" w:styleId="75">
    <w:name w:val="批注框文本 Char"/>
    <w:link w:val="31"/>
    <w:semiHidden/>
    <w:qFormat/>
    <w:uiPriority w:val="99"/>
    <w:rPr>
      <w:sz w:val="18"/>
      <w:szCs w:val="18"/>
    </w:rPr>
  </w:style>
  <w:style w:type="character" w:customStyle="1" w:styleId="76">
    <w:name w:val="页脚 Char"/>
    <w:link w:val="32"/>
    <w:qFormat/>
    <w:uiPriority w:val="99"/>
    <w:rPr>
      <w:sz w:val="24"/>
    </w:rPr>
  </w:style>
  <w:style w:type="character" w:customStyle="1" w:styleId="77">
    <w:name w:val="页眉 Char"/>
    <w:link w:val="33"/>
    <w:qFormat/>
    <w:uiPriority w:val="0"/>
    <w:rPr>
      <w:b/>
      <w:sz w:val="21"/>
    </w:rPr>
  </w:style>
  <w:style w:type="character" w:customStyle="1" w:styleId="78">
    <w:name w:val="副标题 Char"/>
    <w:link w:val="38"/>
    <w:qFormat/>
    <w:uiPriority w:val="0"/>
    <w:rPr>
      <w:rFonts w:ascii="Arial" w:hAnsi="Arial" w:eastAsia="黑体"/>
      <w:i/>
      <w:sz w:val="24"/>
      <w:szCs w:val="24"/>
    </w:rPr>
  </w:style>
  <w:style w:type="character" w:customStyle="1" w:styleId="79">
    <w:name w:val="正文文本缩进 3 Char"/>
    <w:link w:val="42"/>
    <w:qFormat/>
    <w:uiPriority w:val="0"/>
    <w:rPr>
      <w:sz w:val="16"/>
      <w:szCs w:val="16"/>
    </w:rPr>
  </w:style>
  <w:style w:type="character" w:customStyle="1" w:styleId="80">
    <w:name w:val="正文首行缩进 Char"/>
    <w:link w:val="51"/>
    <w:qFormat/>
    <w:uiPriority w:val="99"/>
    <w:rPr>
      <w:kern w:val="2"/>
      <w:sz w:val="21"/>
    </w:rPr>
  </w:style>
  <w:style w:type="character" w:customStyle="1" w:styleId="81">
    <w:name w:val="正文首行缩进 Char1"/>
    <w:qFormat/>
    <w:uiPriority w:val="0"/>
    <w:rPr>
      <w:sz w:val="24"/>
    </w:rPr>
  </w:style>
  <w:style w:type="character" w:customStyle="1" w:styleId="82">
    <w:name w:val="Hyperlink.0"/>
    <w:qFormat/>
    <w:uiPriority w:val="0"/>
  </w:style>
  <w:style w:type="character" w:customStyle="1" w:styleId="83">
    <w:name w:val="正文文本缩进 字符"/>
    <w:qFormat/>
    <w:uiPriority w:val="0"/>
    <w:rPr>
      <w:rFonts w:ascii="Arial" w:hAnsi="Arial" w:eastAsia="黑体"/>
      <w:sz w:val="21"/>
    </w:rPr>
  </w:style>
  <w:style w:type="character" w:customStyle="1" w:styleId="84">
    <w:name w:val="章标题 Char"/>
    <w:link w:val="85"/>
    <w:qFormat/>
    <w:uiPriority w:val="0"/>
    <w:rPr>
      <w:rFonts w:ascii="黑体" w:eastAsia="黑体"/>
      <w:sz w:val="21"/>
      <w:lang w:val="en-US" w:eastAsia="zh-CN" w:bidi="ar-SA"/>
    </w:rPr>
  </w:style>
  <w:style w:type="paragraph" w:customStyle="1" w:styleId="85">
    <w:name w:val="章标题"/>
    <w:next w:val="1"/>
    <w:link w:val="84"/>
    <w:qFormat/>
    <w:uiPriority w:val="0"/>
    <w:pPr>
      <w:numPr>
        <w:ilvl w:val="1"/>
        <w:numId w:val="2"/>
      </w:numPr>
      <w:spacing w:beforeLines="50" w:afterLines="50"/>
      <w:jc w:val="both"/>
      <w:outlineLvl w:val="1"/>
    </w:pPr>
    <w:rPr>
      <w:rFonts w:ascii="黑体" w:hAnsi="Times New Roman" w:eastAsia="黑体" w:cs="Times New Roman"/>
      <w:sz w:val="21"/>
      <w:lang w:val="en-US" w:eastAsia="zh-CN" w:bidi="ar-SA"/>
    </w:rPr>
  </w:style>
  <w:style w:type="character" w:customStyle="1" w:styleId="86">
    <w:name w:val="标题 2 字符"/>
    <w:qFormat/>
    <w:uiPriority w:val="0"/>
    <w:rPr>
      <w:sz w:val="24"/>
    </w:rPr>
  </w:style>
  <w:style w:type="character" w:customStyle="1" w:styleId="87">
    <w:name w:val="standdate1"/>
    <w:qFormat/>
    <w:uiPriority w:val="0"/>
    <w:rPr>
      <w:rFonts w:ascii="黑体" w:hAnsi="Times New Roman" w:eastAsia="黑体"/>
      <w:color w:val="auto"/>
      <w:sz w:val="24"/>
      <w:u w:val="none"/>
    </w:rPr>
  </w:style>
  <w:style w:type="character" w:customStyle="1" w:styleId="88">
    <w:name w:val="一级条标题 Char"/>
    <w:link w:val="89"/>
    <w:qFormat/>
    <w:uiPriority w:val="0"/>
    <w:rPr>
      <w:rFonts w:ascii="黑体" w:eastAsia="黑体"/>
      <w:sz w:val="21"/>
    </w:rPr>
  </w:style>
  <w:style w:type="paragraph" w:customStyle="1" w:styleId="89">
    <w:name w:val="一级条标题"/>
    <w:basedOn w:val="1"/>
    <w:next w:val="63"/>
    <w:link w:val="88"/>
    <w:qFormat/>
    <w:uiPriority w:val="0"/>
    <w:pPr>
      <w:outlineLvl w:val="2"/>
    </w:pPr>
    <w:rPr>
      <w:rFonts w:ascii="黑体" w:eastAsia="黑体"/>
      <w:sz w:val="21"/>
      <w:szCs w:val="20"/>
    </w:rPr>
  </w:style>
  <w:style w:type="character" w:customStyle="1" w:styleId="90">
    <w:name w:val="正文缩进 Char"/>
    <w:qFormat/>
    <w:uiPriority w:val="0"/>
    <w:rPr>
      <w:rFonts w:eastAsia="宋体"/>
      <w:sz w:val="24"/>
      <w:lang w:val="en-US" w:eastAsia="zh-CN" w:bidi="ar-SA"/>
    </w:rPr>
  </w:style>
  <w:style w:type="character" w:customStyle="1" w:styleId="91">
    <w:name w:val="s1"/>
    <w:qFormat/>
    <w:uiPriority w:val="0"/>
    <w:rPr>
      <w:rFonts w:ascii="Helvetica" w:hAnsi="Helvetica" w:eastAsia="Helvetica" w:cs="Helvetica"/>
      <w:sz w:val="24"/>
      <w:szCs w:val="24"/>
    </w:rPr>
  </w:style>
  <w:style w:type="character" w:customStyle="1" w:styleId="92">
    <w:name w:val="页眉 字符"/>
    <w:qFormat/>
    <w:uiPriority w:val="0"/>
    <w:rPr>
      <w:b/>
      <w:sz w:val="21"/>
    </w:rPr>
  </w:style>
  <w:style w:type="character" w:customStyle="1" w:styleId="93">
    <w:name w:val="正文缩进 Char Char"/>
    <w:qFormat/>
    <w:uiPriority w:val="0"/>
    <w:rPr>
      <w:rFonts w:eastAsia="宋体"/>
      <w:sz w:val="24"/>
      <w:lang w:val="en-US" w:eastAsia="zh-CN" w:bidi="ar-SA"/>
    </w:rPr>
  </w:style>
  <w:style w:type="character" w:customStyle="1" w:styleId="94">
    <w:name w:val="已访问的超链接1"/>
    <w:qFormat/>
    <w:uiPriority w:val="0"/>
    <w:rPr>
      <w:color w:val="800080"/>
      <w:u w:val="single"/>
    </w:rPr>
  </w:style>
  <w:style w:type="character" w:customStyle="1" w:styleId="95">
    <w:name w:val="123321 Char1"/>
    <w:qFormat/>
    <w:uiPriority w:val="0"/>
    <w:rPr>
      <w:rFonts w:ascii="Arial" w:eastAsia="黑体"/>
      <w:kern w:val="44"/>
      <w:sz w:val="24"/>
    </w:rPr>
  </w:style>
  <w:style w:type="character" w:customStyle="1" w:styleId="96">
    <w:name w:val="特点 Char"/>
    <w:qFormat/>
    <w:uiPriority w:val="0"/>
    <w:rPr>
      <w:rFonts w:eastAsia="宋体"/>
      <w:sz w:val="24"/>
      <w:lang w:val="en-US" w:eastAsia="zh-CN" w:bidi="ar-SA"/>
    </w:rPr>
  </w:style>
  <w:style w:type="character" w:customStyle="1" w:styleId="97">
    <w:name w:val="标题 7 Char1"/>
    <w:qFormat/>
    <w:uiPriority w:val="0"/>
    <w:rPr>
      <w:rFonts w:ascii="Times New Roman" w:hAnsi="Times New Roman"/>
      <w:sz w:val="24"/>
    </w:rPr>
  </w:style>
  <w:style w:type="character" w:customStyle="1" w:styleId="98">
    <w:name w:val="正文 含缩进 Char"/>
    <w:link w:val="99"/>
    <w:qFormat/>
    <w:uiPriority w:val="0"/>
    <w:rPr>
      <w:szCs w:val="24"/>
    </w:rPr>
  </w:style>
  <w:style w:type="paragraph" w:customStyle="1" w:styleId="99">
    <w:name w:val="正文 含缩进"/>
    <w:basedOn w:val="1"/>
    <w:link w:val="98"/>
    <w:qFormat/>
    <w:uiPriority w:val="0"/>
    <w:pPr>
      <w:widowControl w:val="0"/>
      <w:spacing w:line="360" w:lineRule="auto"/>
      <w:ind w:firstLine="202" w:firstLineChars="202"/>
      <w:jc w:val="both"/>
    </w:pPr>
    <w:rPr>
      <w:sz w:val="20"/>
    </w:rPr>
  </w:style>
  <w:style w:type="character" w:customStyle="1" w:styleId="100">
    <w:name w:val="Hyperlink.1"/>
    <w:qFormat/>
    <w:uiPriority w:val="0"/>
    <w:rPr>
      <w:color w:val="0000FF"/>
      <w:u w:val="none"/>
    </w:rPr>
  </w:style>
  <w:style w:type="character" w:customStyle="1" w:styleId="101">
    <w:name w:val="未处理的提及1"/>
    <w:qFormat/>
    <w:uiPriority w:val="47"/>
    <w:rPr>
      <w:color w:val="605E5C"/>
      <w:shd w:val="clear" w:color="auto" w:fill="E1DFDD"/>
    </w:rPr>
  </w:style>
  <w:style w:type="character" w:customStyle="1" w:styleId="102">
    <w:name w:val="正文文本缩进 字符1"/>
    <w:qFormat/>
    <w:uiPriority w:val="0"/>
    <w:rPr>
      <w:rFonts w:ascii="Arial" w:hAnsi="Arial" w:eastAsia="黑体"/>
      <w:sz w:val="21"/>
    </w:rPr>
  </w:style>
  <w:style w:type="character" w:customStyle="1" w:styleId="103">
    <w:name w:val="Char Char2"/>
    <w:qFormat/>
    <w:uiPriority w:val="0"/>
    <w:rPr>
      <w:rFonts w:eastAsia="宋体"/>
      <w:sz w:val="24"/>
      <w:lang w:bidi="ar-SA"/>
    </w:rPr>
  </w:style>
  <w:style w:type="character" w:customStyle="1" w:styleId="104">
    <w:name w:val="标题 7 字符"/>
    <w:qFormat/>
    <w:uiPriority w:val="0"/>
    <w:rPr>
      <w:sz w:val="24"/>
    </w:rPr>
  </w:style>
  <w:style w:type="character" w:customStyle="1" w:styleId="105">
    <w:name w:val="标题 1 字符"/>
    <w:qFormat/>
    <w:uiPriority w:val="0"/>
    <w:rPr>
      <w:rFonts w:ascii="Arial" w:eastAsia="黑体"/>
      <w:kern w:val="44"/>
      <w:sz w:val="24"/>
    </w:rPr>
  </w:style>
  <w:style w:type="paragraph" w:customStyle="1" w:styleId="106">
    <w:name w:val="修订1"/>
    <w:unhideWhenUsed/>
    <w:qFormat/>
    <w:uiPriority w:val="99"/>
    <w:rPr>
      <w:rFonts w:ascii="Times New Roman" w:hAnsi="Times New Roman" w:eastAsia="宋体" w:cs="Times New Roman"/>
      <w:sz w:val="24"/>
      <w:szCs w:val="24"/>
      <w:lang w:val="en-US" w:eastAsia="zh-CN" w:bidi="ar-SA"/>
    </w:rPr>
  </w:style>
  <w:style w:type="paragraph" w:customStyle="1" w:styleId="107">
    <w:name w:val="正文文字1"/>
    <w:basedOn w:val="21"/>
    <w:qFormat/>
    <w:uiPriority w:val="0"/>
    <w:pPr>
      <w:spacing w:after="0"/>
      <w:jc w:val="both"/>
    </w:pPr>
  </w:style>
  <w:style w:type="paragraph" w:customStyle="1" w:styleId="108">
    <w:name w:val="xl64"/>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rPr>
  </w:style>
  <w:style w:type="paragraph" w:customStyle="1" w:styleId="109">
    <w:name w:val="xl76"/>
    <w:basedOn w:val="1"/>
    <w:qFormat/>
    <w:uiPriority w:val="0"/>
    <w:pPr>
      <w:pBdr>
        <w:top w:val="single" w:color="auto" w:sz="4" w:space="0"/>
        <w:left w:val="single" w:color="auto" w:sz="4" w:space="0"/>
        <w:bottom w:val="single" w:color="auto" w:sz="4" w:space="0"/>
        <w:right w:val="single" w:color="auto" w:sz="4" w:space="0"/>
      </w:pBdr>
      <w:shd w:val="clear" w:color="000000" w:fill="C8ECC8"/>
      <w:spacing w:before="100" w:beforeAutospacing="1" w:after="100" w:afterAutospacing="1"/>
      <w:jc w:val="center"/>
    </w:pPr>
    <w:rPr>
      <w:rFonts w:ascii="宋体" w:hAnsi="宋体" w:cs="宋体"/>
      <w:sz w:val="18"/>
      <w:szCs w:val="18"/>
    </w:rPr>
  </w:style>
  <w:style w:type="paragraph" w:customStyle="1" w:styleId="110">
    <w:name w:val="文献内容"/>
    <w:basedOn w:val="1"/>
    <w:qFormat/>
    <w:uiPriority w:val="0"/>
    <w:pPr>
      <w:keepNext/>
      <w:spacing w:before="60" w:line="340" w:lineRule="exact"/>
    </w:pPr>
    <w:rPr>
      <w:color w:val="000000"/>
      <w:kern w:val="2"/>
      <w:sz w:val="21"/>
    </w:rPr>
  </w:style>
  <w:style w:type="paragraph" w:customStyle="1" w:styleId="111">
    <w:name w:val="xl66"/>
    <w:basedOn w:val="1"/>
    <w:qFormat/>
    <w:uiPriority w:val="0"/>
    <w:pPr>
      <w:spacing w:before="100" w:beforeAutospacing="1" w:after="100" w:afterAutospacing="1"/>
      <w:jc w:val="center"/>
    </w:pPr>
    <w:rPr>
      <w:rFonts w:ascii="宋体" w:hAnsi="宋体" w:cs="宋体"/>
    </w:rPr>
  </w:style>
  <w:style w:type="paragraph" w:customStyle="1" w:styleId="112">
    <w:name w:val="p2"/>
    <w:basedOn w:val="1"/>
    <w:qFormat/>
    <w:uiPriority w:val="0"/>
    <w:rPr>
      <w:rFonts w:ascii="Calibri" w:hAnsi="Calibri"/>
      <w:sz w:val="21"/>
    </w:rPr>
  </w:style>
  <w:style w:type="paragraph" w:customStyle="1" w:styleId="113">
    <w:name w:val="xl91"/>
    <w:basedOn w:val="1"/>
    <w:qFormat/>
    <w:uiPriority w:val="0"/>
    <w:pPr>
      <w:pBdr>
        <w:top w:val="single" w:color="auto" w:sz="4" w:space="0"/>
        <w:left w:val="single" w:color="auto" w:sz="4" w:space="0"/>
        <w:right w:val="single" w:color="auto" w:sz="4" w:space="0"/>
      </w:pBdr>
      <w:spacing w:before="100" w:beforeAutospacing="1" w:after="100" w:afterAutospacing="1"/>
      <w:jc w:val="center"/>
    </w:pPr>
    <w:rPr>
      <w:rFonts w:ascii="宋体" w:hAnsi="宋体" w:cs="宋体"/>
    </w:rPr>
  </w:style>
  <w:style w:type="paragraph" w:customStyle="1" w:styleId="114">
    <w:name w:val="xl68"/>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rPr>
  </w:style>
  <w:style w:type="paragraph" w:customStyle="1" w:styleId="115">
    <w:name w:val="font5"/>
    <w:basedOn w:val="1"/>
    <w:qFormat/>
    <w:uiPriority w:val="0"/>
    <w:pPr>
      <w:spacing w:before="100" w:beforeAutospacing="1" w:after="100" w:afterAutospacing="1"/>
    </w:pPr>
    <w:rPr>
      <w:rFonts w:ascii="等线" w:hAnsi="宋体" w:eastAsia="等线" w:cs="宋体"/>
      <w:sz w:val="18"/>
      <w:szCs w:val="18"/>
    </w:rPr>
  </w:style>
  <w:style w:type="paragraph" w:customStyle="1" w:styleId="116">
    <w:name w:val="注1"/>
    <w:basedOn w:val="117"/>
    <w:qFormat/>
    <w:uiPriority w:val="0"/>
    <w:pPr>
      <w:numPr>
        <w:ilvl w:val="0"/>
        <w:numId w:val="3"/>
      </w:numPr>
      <w:tabs>
        <w:tab w:val="left" w:pos="1112"/>
        <w:tab w:val="clear" w:pos="1186"/>
      </w:tabs>
      <w:ind w:left="1112" w:hanging="286"/>
    </w:pPr>
  </w:style>
  <w:style w:type="paragraph" w:customStyle="1" w:styleId="117">
    <w:name w:val="注"/>
    <w:basedOn w:val="1"/>
    <w:qFormat/>
    <w:uiPriority w:val="0"/>
    <w:pPr>
      <w:ind w:left="840" w:hanging="420"/>
    </w:pPr>
    <w:rPr>
      <w:sz w:val="21"/>
    </w:rPr>
  </w:style>
  <w:style w:type="paragraph" w:customStyle="1" w:styleId="118">
    <w:name w:val="Char Char Char Char Char Char Char"/>
    <w:basedOn w:val="1"/>
    <w:qFormat/>
    <w:uiPriority w:val="0"/>
    <w:pPr>
      <w:snapToGrid w:val="0"/>
      <w:spacing w:after="120" w:line="300" w:lineRule="auto"/>
      <w:jc w:val="center"/>
    </w:pPr>
    <w:rPr>
      <w:kern w:val="2"/>
      <w:sz w:val="21"/>
      <w:szCs w:val="21"/>
    </w:rPr>
  </w:style>
  <w:style w:type="paragraph" w:customStyle="1" w:styleId="119">
    <w:name w:val="xl85"/>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rPr>
  </w:style>
  <w:style w:type="paragraph" w:customStyle="1" w:styleId="120">
    <w:name w:val="样式 (中文) 楷体_GB2312 三号 首行缩进:  4.02 厘米1"/>
    <w:basedOn w:val="1"/>
    <w:qFormat/>
    <w:uiPriority w:val="0"/>
    <w:pPr>
      <w:ind w:firstLine="2278"/>
    </w:pPr>
    <w:rPr>
      <w:rFonts w:eastAsia="楷体" w:cs="宋体"/>
      <w:sz w:val="32"/>
    </w:rPr>
  </w:style>
  <w:style w:type="paragraph" w:customStyle="1" w:styleId="121">
    <w:name w:val="xl80"/>
    <w:basedOn w:val="1"/>
    <w:qFormat/>
    <w:uiPriority w:val="0"/>
    <w:pPr>
      <w:pBdr>
        <w:top w:val="single" w:color="auto" w:sz="4" w:space="0"/>
        <w:left w:val="single" w:color="auto" w:sz="4" w:space="0"/>
        <w:right w:val="single" w:color="auto" w:sz="4" w:space="0"/>
      </w:pBdr>
      <w:spacing w:before="100" w:beforeAutospacing="1" w:after="100" w:afterAutospacing="1"/>
      <w:jc w:val="center"/>
    </w:pPr>
    <w:rPr>
      <w:rFonts w:ascii="宋体" w:hAnsi="宋体" w:cs="宋体"/>
    </w:rPr>
  </w:style>
  <w:style w:type="paragraph" w:customStyle="1" w:styleId="122">
    <w:name w:val="参考文献"/>
    <w:basedOn w:val="1"/>
    <w:next w:val="1"/>
    <w:qFormat/>
    <w:uiPriority w:val="0"/>
    <w:pPr>
      <w:keepNext/>
      <w:keepLines/>
      <w:pageBreakBefore/>
      <w:spacing w:before="300" w:after="300" w:line="340" w:lineRule="exact"/>
      <w:jc w:val="center"/>
    </w:pPr>
    <w:rPr>
      <w:rFonts w:eastAsia="黑体"/>
      <w:b/>
      <w:spacing w:val="20"/>
      <w:kern w:val="2"/>
      <w:sz w:val="30"/>
    </w:rPr>
  </w:style>
  <w:style w:type="paragraph" w:customStyle="1" w:styleId="123">
    <w:name w:val="xl73"/>
    <w:basedOn w:val="1"/>
    <w:qFormat/>
    <w:uiPriority w:val="0"/>
    <w:pPr>
      <w:pBdr>
        <w:top w:val="single" w:color="auto" w:sz="4" w:space="0"/>
        <w:left w:val="single" w:color="auto" w:sz="4" w:space="0"/>
        <w:bottom w:val="single" w:color="auto" w:sz="4" w:space="0"/>
        <w:right w:val="single" w:color="auto" w:sz="4" w:space="0"/>
      </w:pBdr>
      <w:shd w:val="clear" w:color="000000" w:fill="C8ECC8"/>
      <w:spacing w:before="100" w:beforeAutospacing="1" w:after="100" w:afterAutospacing="1"/>
      <w:jc w:val="center"/>
    </w:pPr>
    <w:rPr>
      <w:rFonts w:ascii="宋体" w:hAnsi="宋体" w:cs="宋体"/>
    </w:rPr>
  </w:style>
  <w:style w:type="paragraph" w:customStyle="1" w:styleId="124">
    <w:name w:val="正文文字3"/>
    <w:basedOn w:val="21"/>
    <w:qFormat/>
    <w:uiPriority w:val="0"/>
    <w:pPr>
      <w:spacing w:after="0"/>
      <w:jc w:val="both"/>
    </w:pPr>
  </w:style>
  <w:style w:type="paragraph" w:customStyle="1" w:styleId="125">
    <w:name w:val="样式 (中文) 楷体_GB2312 三号 居中 段前: 8 磅"/>
    <w:basedOn w:val="1"/>
    <w:qFormat/>
    <w:uiPriority w:val="0"/>
    <w:pPr>
      <w:spacing w:before="160"/>
      <w:jc w:val="center"/>
    </w:pPr>
    <w:rPr>
      <w:rFonts w:eastAsia="楷体" w:cs="宋体"/>
      <w:sz w:val="32"/>
    </w:rPr>
  </w:style>
  <w:style w:type="paragraph" w:customStyle="1" w:styleId="126">
    <w:name w:val="flNote"/>
    <w:basedOn w:val="1"/>
    <w:qFormat/>
    <w:uiPriority w:val="0"/>
    <w:pPr>
      <w:spacing w:before="320" w:after="160"/>
      <w:jc w:val="center"/>
    </w:pPr>
    <w:rPr>
      <w:rFonts w:ascii="Arial" w:eastAsia="黑体"/>
      <w:sz w:val="30"/>
    </w:rPr>
  </w:style>
  <w:style w:type="paragraph" w:customStyle="1" w:styleId="127">
    <w:name w:val="xl92"/>
    <w:basedOn w:val="1"/>
    <w:qFormat/>
    <w:uiPriority w:val="0"/>
    <w:pPr>
      <w:pBdr>
        <w:left w:val="single" w:color="auto" w:sz="4" w:space="0"/>
        <w:right w:val="single" w:color="auto" w:sz="4" w:space="0"/>
      </w:pBdr>
      <w:spacing w:before="100" w:beforeAutospacing="1" w:after="100" w:afterAutospacing="1"/>
      <w:jc w:val="center"/>
    </w:pPr>
    <w:rPr>
      <w:rFonts w:ascii="宋体" w:hAnsi="宋体" w:cs="宋体"/>
    </w:rPr>
  </w:style>
  <w:style w:type="paragraph" w:customStyle="1" w:styleId="128">
    <w:name w:val="表格1"/>
    <w:basedOn w:val="1"/>
    <w:qFormat/>
    <w:uiPriority w:val="0"/>
    <w:pPr>
      <w:spacing w:after="60"/>
      <w:ind w:left="72" w:leftChars="30" w:right="72" w:rightChars="30"/>
      <w:jc w:val="center"/>
    </w:pPr>
    <w:rPr>
      <w:sz w:val="21"/>
    </w:rPr>
  </w:style>
  <w:style w:type="paragraph" w:customStyle="1" w:styleId="129">
    <w:name w:val="默认"/>
    <w:qFormat/>
    <w:uiPriority w:val="0"/>
    <w:rPr>
      <w:rFonts w:ascii="Helvetica Neue" w:hAnsi="Helvetica Neue" w:eastAsia="Arial Unicode MS" w:cs="Arial Unicode MS"/>
      <w:color w:val="000000"/>
      <w:sz w:val="22"/>
      <w:szCs w:val="22"/>
      <w:lang w:val="en-US" w:eastAsia="zh-CN" w:bidi="ar-SA"/>
    </w:rPr>
  </w:style>
  <w:style w:type="paragraph" w:customStyle="1" w:styleId="130">
    <w:name w:val="font6"/>
    <w:basedOn w:val="1"/>
    <w:qFormat/>
    <w:uiPriority w:val="0"/>
    <w:pPr>
      <w:spacing w:before="100" w:beforeAutospacing="1" w:after="100" w:afterAutospacing="1"/>
    </w:pPr>
    <w:rPr>
      <w:rFonts w:ascii="等线" w:hAnsi="宋体" w:eastAsia="等线" w:cs="宋体"/>
      <w:sz w:val="18"/>
      <w:szCs w:val="18"/>
    </w:rPr>
  </w:style>
  <w:style w:type="paragraph" w:customStyle="1" w:styleId="131">
    <w:name w:val="图样编号"/>
    <w:basedOn w:val="1"/>
    <w:qFormat/>
    <w:uiPriority w:val="0"/>
    <w:pPr>
      <w:numPr>
        <w:ilvl w:val="0"/>
        <w:numId w:val="4"/>
      </w:numPr>
      <w:spacing w:after="120"/>
      <w:jc w:val="center"/>
    </w:pPr>
  </w:style>
  <w:style w:type="paragraph" w:customStyle="1" w:styleId="132">
    <w:name w:val="目录"/>
    <w:basedOn w:val="1"/>
    <w:next w:val="1"/>
    <w:qFormat/>
    <w:uiPriority w:val="0"/>
    <w:pPr>
      <w:keepNext/>
      <w:pageBreakBefore/>
      <w:spacing w:before="240" w:after="240" w:line="400" w:lineRule="exact"/>
      <w:jc w:val="center"/>
    </w:pPr>
    <w:rPr>
      <w:rFonts w:eastAsia="黑体"/>
      <w:b/>
      <w:kern w:val="2"/>
      <w:sz w:val="32"/>
    </w:rPr>
  </w:style>
  <w:style w:type="paragraph" w:customStyle="1" w:styleId="133">
    <w:name w:val="样式 (中文) 楷体_GB2312 二号 加粗 居中 行距: 最小值 15.6 磅"/>
    <w:basedOn w:val="1"/>
    <w:qFormat/>
    <w:uiPriority w:val="0"/>
    <w:pPr>
      <w:spacing w:line="312" w:lineRule="atLeast"/>
      <w:jc w:val="center"/>
    </w:pPr>
    <w:rPr>
      <w:rFonts w:eastAsia="楷体" w:cs="宋体"/>
      <w:b/>
      <w:bCs/>
      <w:sz w:val="44"/>
    </w:rPr>
  </w:style>
  <w:style w:type="paragraph" w:customStyle="1" w:styleId="134">
    <w:name w:val="_Style 4"/>
    <w:basedOn w:val="1"/>
    <w:next w:val="26"/>
    <w:qFormat/>
    <w:uiPriority w:val="0"/>
    <w:rPr>
      <w:rFonts w:ascii="宋体" w:hAnsi="Courier New"/>
      <w:kern w:val="2"/>
      <w:sz w:val="21"/>
    </w:rPr>
  </w:style>
  <w:style w:type="paragraph" w:customStyle="1" w:styleId="135">
    <w:name w:val="样式 (中文) 楷体_GB2312 小三 居中 行距: 最小值 12 磅"/>
    <w:basedOn w:val="1"/>
    <w:qFormat/>
    <w:uiPriority w:val="0"/>
    <w:pPr>
      <w:spacing w:line="240" w:lineRule="atLeast"/>
      <w:jc w:val="center"/>
    </w:pPr>
    <w:rPr>
      <w:rFonts w:eastAsia="楷体" w:cs="宋体"/>
      <w:sz w:val="30"/>
    </w:rPr>
  </w:style>
  <w:style w:type="paragraph" w:customStyle="1" w:styleId="136">
    <w:name w:val="四级条标题"/>
    <w:basedOn w:val="1"/>
    <w:next w:val="1"/>
    <w:qFormat/>
    <w:uiPriority w:val="0"/>
    <w:pPr>
      <w:tabs>
        <w:tab w:val="left" w:pos="360"/>
      </w:tabs>
      <w:ind w:left="425" w:hanging="425"/>
      <w:outlineLvl w:val="5"/>
    </w:pPr>
    <w:rPr>
      <w:rFonts w:ascii="黑体" w:eastAsia="黑体"/>
      <w:sz w:val="21"/>
    </w:rPr>
  </w:style>
  <w:style w:type="paragraph" w:customStyle="1" w:styleId="137">
    <w:name w:val="表格2"/>
    <w:basedOn w:val="1"/>
    <w:qFormat/>
    <w:uiPriority w:val="0"/>
    <w:pPr>
      <w:spacing w:after="60"/>
      <w:ind w:left="72" w:leftChars="30" w:right="72" w:rightChars="30"/>
      <w:jc w:val="center"/>
    </w:pPr>
    <w:rPr>
      <w:rFonts w:ascii="Arial" w:eastAsia="黑体"/>
      <w:sz w:val="21"/>
    </w:rPr>
  </w:style>
  <w:style w:type="paragraph" w:customStyle="1" w:styleId="138">
    <w:name w:val="样式 (中文) 楷体_GB2312 三号 首行缩进:  4.02 厘米"/>
    <w:basedOn w:val="1"/>
    <w:qFormat/>
    <w:uiPriority w:val="0"/>
    <w:pPr>
      <w:ind w:firstLine="2278"/>
    </w:pPr>
    <w:rPr>
      <w:rFonts w:eastAsia="楷体" w:cs="宋体"/>
      <w:sz w:val="32"/>
    </w:rPr>
  </w:style>
  <w:style w:type="paragraph" w:customStyle="1" w:styleId="139">
    <w:name w:val="xl65"/>
    <w:basedOn w:val="1"/>
    <w:qFormat/>
    <w:uiPriority w:val="0"/>
    <w:pPr>
      <w:spacing w:before="100" w:beforeAutospacing="1" w:after="100" w:afterAutospacing="1"/>
      <w:jc w:val="center"/>
    </w:pPr>
    <w:rPr>
      <w:rFonts w:ascii="宋体" w:hAnsi="宋体" w:cs="宋体"/>
    </w:rPr>
  </w:style>
  <w:style w:type="paragraph" w:customStyle="1" w:styleId="140">
    <w:name w:val="彩色底纹 - 着色 11"/>
    <w:semiHidden/>
    <w:qFormat/>
    <w:uiPriority w:val="99"/>
    <w:rPr>
      <w:rFonts w:ascii="Times New Roman" w:hAnsi="Times New Roman" w:eastAsia="宋体" w:cs="Times New Roman"/>
      <w:sz w:val="24"/>
      <w:lang w:val="en-US" w:eastAsia="zh-CN" w:bidi="ar-SA"/>
    </w:rPr>
  </w:style>
  <w:style w:type="paragraph" w:customStyle="1" w:styleId="141">
    <w:name w:val="表格3"/>
    <w:basedOn w:val="1"/>
    <w:qFormat/>
    <w:uiPriority w:val="0"/>
    <w:pPr>
      <w:ind w:left="72" w:leftChars="30" w:right="72" w:rightChars="30"/>
    </w:pPr>
    <w:rPr>
      <w:sz w:val="21"/>
    </w:rPr>
  </w:style>
  <w:style w:type="paragraph" w:customStyle="1" w:styleId="142">
    <w:name w:val="xl84"/>
    <w:basedOn w:val="1"/>
    <w:qFormat/>
    <w:uiPriority w:val="0"/>
    <w:pPr>
      <w:pBdr>
        <w:top w:val="single" w:color="auto" w:sz="4" w:space="0"/>
        <w:left w:val="single" w:color="auto" w:sz="4" w:space="0"/>
        <w:right w:val="single" w:color="auto" w:sz="4" w:space="0"/>
      </w:pBdr>
      <w:shd w:val="clear" w:color="000000" w:fill="C8ECC8"/>
      <w:spacing w:before="100" w:beforeAutospacing="1" w:after="100" w:afterAutospacing="1"/>
      <w:jc w:val="center"/>
    </w:pPr>
    <w:rPr>
      <w:rFonts w:ascii="宋体" w:hAnsi="宋体" w:cs="宋体"/>
      <w:sz w:val="20"/>
    </w:rPr>
  </w:style>
  <w:style w:type="paragraph" w:customStyle="1" w:styleId="143">
    <w:name w:val="表格编号"/>
    <w:basedOn w:val="1"/>
    <w:qFormat/>
    <w:uiPriority w:val="0"/>
    <w:pPr>
      <w:numPr>
        <w:ilvl w:val="0"/>
        <w:numId w:val="5"/>
      </w:numPr>
      <w:spacing w:before="120"/>
      <w:jc w:val="center"/>
    </w:pPr>
  </w:style>
  <w:style w:type="paragraph" w:customStyle="1" w:styleId="144">
    <w:name w:val="xl67"/>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rPr>
  </w:style>
  <w:style w:type="paragraph" w:customStyle="1" w:styleId="145">
    <w:name w:val="xl69"/>
    <w:basedOn w:val="1"/>
    <w:qFormat/>
    <w:uiPriority w:val="0"/>
    <w:pPr>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rPr>
  </w:style>
  <w:style w:type="paragraph" w:customStyle="1" w:styleId="146">
    <w:name w:val="xl71"/>
    <w:basedOn w:val="1"/>
    <w:qFormat/>
    <w:uiPriority w:val="0"/>
    <w:pPr>
      <w:pBdr>
        <w:top w:val="single" w:color="auto" w:sz="4" w:space="0"/>
        <w:left w:val="single" w:color="auto" w:sz="4" w:space="0"/>
        <w:bottom w:val="single" w:color="auto" w:sz="4" w:space="0"/>
        <w:right w:val="single" w:color="auto" w:sz="4" w:space="0"/>
      </w:pBdr>
      <w:shd w:val="clear" w:color="000000" w:fill="C8ECC8"/>
      <w:spacing w:before="100" w:beforeAutospacing="1" w:after="100" w:afterAutospacing="1"/>
      <w:jc w:val="center"/>
    </w:pPr>
    <w:rPr>
      <w:rFonts w:ascii="宋体" w:hAnsi="宋体" w:cs="宋体"/>
      <w:sz w:val="18"/>
      <w:szCs w:val="18"/>
    </w:rPr>
  </w:style>
  <w:style w:type="paragraph" w:customStyle="1" w:styleId="147">
    <w:name w:val="xl77"/>
    <w:basedOn w:val="1"/>
    <w:qFormat/>
    <w:uiPriority w:val="0"/>
    <w:pPr>
      <w:pBdr>
        <w:top w:val="single" w:color="auto" w:sz="4" w:space="0"/>
        <w:left w:val="single" w:color="auto" w:sz="4" w:space="0"/>
        <w:bottom w:val="single" w:color="auto" w:sz="4" w:space="0"/>
      </w:pBdr>
      <w:spacing w:before="100" w:beforeAutospacing="1" w:after="100" w:afterAutospacing="1"/>
      <w:jc w:val="center"/>
    </w:pPr>
    <w:rPr>
      <w:rFonts w:ascii="宋体" w:hAnsi="宋体" w:cs="宋体"/>
    </w:rPr>
  </w:style>
  <w:style w:type="paragraph" w:customStyle="1" w:styleId="148">
    <w:name w:val="xl78"/>
    <w:basedOn w:val="1"/>
    <w:qFormat/>
    <w:uiPriority w:val="0"/>
    <w:pPr>
      <w:pBdr>
        <w:top w:val="single" w:color="auto" w:sz="4" w:space="0"/>
        <w:bottom w:val="single" w:color="auto" w:sz="4" w:space="0"/>
      </w:pBdr>
      <w:spacing w:before="100" w:beforeAutospacing="1" w:after="100" w:afterAutospacing="1"/>
      <w:jc w:val="center"/>
    </w:pPr>
    <w:rPr>
      <w:rFonts w:ascii="宋体" w:hAnsi="宋体" w:cs="宋体"/>
    </w:rPr>
  </w:style>
  <w:style w:type="paragraph" w:customStyle="1" w:styleId="149">
    <w:name w:val="xl82"/>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ascii="宋体" w:hAnsi="宋体" w:cs="宋体"/>
    </w:rPr>
  </w:style>
  <w:style w:type="paragraph" w:customStyle="1" w:styleId="150">
    <w:name w:val="xl79"/>
    <w:basedOn w:val="1"/>
    <w:qFormat/>
    <w:uiPriority w:val="0"/>
    <w:pPr>
      <w:pBdr>
        <w:top w:val="single" w:color="auto" w:sz="4" w:space="0"/>
        <w:bottom w:val="single" w:color="auto" w:sz="4" w:space="0"/>
        <w:right w:val="single" w:color="auto" w:sz="4" w:space="0"/>
      </w:pBdr>
      <w:spacing w:before="100" w:beforeAutospacing="1" w:after="100" w:afterAutospacing="1"/>
      <w:jc w:val="center"/>
    </w:pPr>
    <w:rPr>
      <w:rFonts w:ascii="宋体" w:hAnsi="宋体" w:cs="宋体"/>
    </w:rPr>
  </w:style>
  <w:style w:type="paragraph" w:customStyle="1" w:styleId="151">
    <w:name w:val="p0"/>
    <w:basedOn w:val="1"/>
    <w:qFormat/>
    <w:uiPriority w:val="99"/>
    <w:rPr>
      <w:rFonts w:ascii="仿宋_GB2312" w:hAnsi="宋体" w:eastAsia="仿宋_GB2312" w:cs="宋体"/>
      <w:sz w:val="32"/>
      <w:szCs w:val="32"/>
    </w:rPr>
  </w:style>
  <w:style w:type="paragraph" w:customStyle="1" w:styleId="152">
    <w:name w:val="xl81"/>
    <w:basedOn w:val="1"/>
    <w:qFormat/>
    <w:uiPriority w:val="0"/>
    <w:pPr>
      <w:pBdr>
        <w:left w:val="single" w:color="auto" w:sz="4" w:space="0"/>
        <w:right w:val="single" w:color="auto" w:sz="4" w:space="0"/>
      </w:pBdr>
      <w:spacing w:before="100" w:beforeAutospacing="1" w:after="100" w:afterAutospacing="1"/>
      <w:jc w:val="center"/>
    </w:pPr>
    <w:rPr>
      <w:rFonts w:ascii="宋体" w:hAnsi="宋体" w:cs="宋体"/>
    </w:rPr>
  </w:style>
  <w:style w:type="paragraph" w:customStyle="1" w:styleId="153">
    <w:name w:val="xl86"/>
    <w:basedOn w:val="1"/>
    <w:qFormat/>
    <w:uiPriority w:val="0"/>
    <w:pPr>
      <w:pBdr>
        <w:top w:val="single" w:color="auto" w:sz="4" w:space="0"/>
        <w:left w:val="single" w:color="auto" w:sz="4" w:space="0"/>
        <w:right w:val="single" w:color="auto" w:sz="4" w:space="0"/>
      </w:pBdr>
      <w:shd w:val="clear" w:color="000000" w:fill="C8ECC8"/>
      <w:spacing w:before="100" w:beforeAutospacing="1" w:after="100" w:afterAutospacing="1"/>
      <w:jc w:val="center"/>
    </w:pPr>
    <w:rPr>
      <w:rFonts w:ascii="宋体" w:hAnsi="宋体" w:cs="宋体"/>
    </w:rPr>
  </w:style>
  <w:style w:type="paragraph" w:customStyle="1" w:styleId="154">
    <w:name w:val="xl87"/>
    <w:basedOn w:val="1"/>
    <w:qFormat/>
    <w:uiPriority w:val="0"/>
    <w:pPr>
      <w:pBdr>
        <w:left w:val="single" w:color="auto" w:sz="4" w:space="0"/>
        <w:right w:val="single" w:color="auto" w:sz="4" w:space="0"/>
      </w:pBdr>
      <w:shd w:val="clear" w:color="000000" w:fill="C8ECC8"/>
      <w:spacing w:before="100" w:beforeAutospacing="1" w:after="100" w:afterAutospacing="1"/>
      <w:jc w:val="center"/>
    </w:pPr>
    <w:rPr>
      <w:rFonts w:ascii="宋体" w:hAnsi="宋体" w:cs="宋体"/>
    </w:rPr>
  </w:style>
  <w:style w:type="paragraph" w:customStyle="1" w:styleId="155">
    <w:name w:val="xl88"/>
    <w:basedOn w:val="1"/>
    <w:qFormat/>
    <w:uiPriority w:val="0"/>
    <w:pPr>
      <w:pBdr>
        <w:left w:val="single" w:color="auto" w:sz="4" w:space="0"/>
        <w:bottom w:val="single" w:color="auto" w:sz="4" w:space="0"/>
        <w:right w:val="single" w:color="auto" w:sz="4" w:space="0"/>
      </w:pBdr>
      <w:shd w:val="clear" w:color="000000" w:fill="C8ECC8"/>
      <w:spacing w:before="100" w:beforeAutospacing="1" w:after="100" w:afterAutospacing="1"/>
      <w:jc w:val="center"/>
    </w:pPr>
    <w:rPr>
      <w:rFonts w:ascii="宋体" w:hAnsi="宋体" w:cs="宋体"/>
    </w:rPr>
  </w:style>
  <w:style w:type="paragraph" w:customStyle="1" w:styleId="156">
    <w:name w:val="xl90"/>
    <w:basedOn w:val="1"/>
    <w:qFormat/>
    <w:uiPriority w:val="0"/>
    <w:pPr>
      <w:pBdr>
        <w:top w:val="single" w:color="auto" w:sz="4" w:space="0"/>
        <w:bottom w:val="single" w:color="auto" w:sz="4" w:space="0"/>
      </w:pBdr>
      <w:spacing w:before="100" w:beforeAutospacing="1" w:after="100" w:afterAutospacing="1"/>
      <w:jc w:val="center"/>
    </w:pPr>
    <w:rPr>
      <w:rFonts w:ascii="宋体" w:hAnsi="宋体" w:cs="宋体"/>
    </w:rPr>
  </w:style>
  <w:style w:type="paragraph" w:customStyle="1" w:styleId="157">
    <w:name w:val="xl74"/>
    <w:basedOn w:val="1"/>
    <w:qFormat/>
    <w:uiPriority w:val="0"/>
    <w:pPr>
      <w:pBdr>
        <w:top w:val="single" w:color="auto" w:sz="4" w:space="0"/>
        <w:left w:val="single" w:color="auto" w:sz="4" w:space="0"/>
        <w:bottom w:val="single" w:color="auto" w:sz="4" w:space="0"/>
        <w:right w:val="single" w:color="auto" w:sz="4" w:space="0"/>
      </w:pBdr>
      <w:shd w:val="clear" w:color="000000" w:fill="C8ECC8"/>
      <w:spacing w:before="100" w:beforeAutospacing="1" w:after="100" w:afterAutospacing="1"/>
      <w:jc w:val="center"/>
    </w:pPr>
    <w:rPr>
      <w:rFonts w:ascii="宋体" w:hAnsi="宋体" w:cs="宋体"/>
      <w:sz w:val="22"/>
      <w:szCs w:val="22"/>
    </w:rPr>
  </w:style>
  <w:style w:type="paragraph" w:customStyle="1" w:styleId="158">
    <w:name w:val="xl93"/>
    <w:basedOn w:val="1"/>
    <w:qFormat/>
    <w:uiPriority w:val="0"/>
    <w:pPr>
      <w:pBdr>
        <w:left w:val="single" w:color="auto" w:sz="4" w:space="0"/>
        <w:bottom w:val="single" w:color="auto" w:sz="4" w:space="0"/>
        <w:right w:val="single" w:color="auto" w:sz="4" w:space="0"/>
      </w:pBdr>
      <w:spacing w:before="100" w:beforeAutospacing="1" w:after="100" w:afterAutospacing="1"/>
      <w:jc w:val="center"/>
    </w:pPr>
    <w:rPr>
      <w:rFonts w:ascii="宋体" w:hAnsi="宋体" w:cs="宋体"/>
    </w:rPr>
  </w:style>
  <w:style w:type="paragraph" w:customStyle="1" w:styleId="159">
    <w:name w:val="样式 (中文) 楷体_GB2312 三号 首行缩进:  4.02 厘米 段前: 6 磅"/>
    <w:basedOn w:val="1"/>
    <w:qFormat/>
    <w:uiPriority w:val="0"/>
    <w:pPr>
      <w:spacing w:before="120"/>
      <w:ind w:firstLine="2278"/>
    </w:pPr>
    <w:rPr>
      <w:rFonts w:eastAsia="楷体" w:cs="宋体"/>
      <w:sz w:val="32"/>
    </w:rPr>
  </w:style>
  <w:style w:type="paragraph" w:customStyle="1" w:styleId="160">
    <w:name w:val="样式 flNote + (西文) Times New Roman (中文) 楷体_GB2312 段前: 0 磅 段后: 0..."/>
    <w:basedOn w:val="126"/>
    <w:qFormat/>
    <w:uiPriority w:val="0"/>
    <w:pPr>
      <w:spacing w:before="0" w:after="0" w:line="240" w:lineRule="atLeast"/>
    </w:pPr>
    <w:rPr>
      <w:rFonts w:ascii="Times New Roman" w:eastAsia="楷体" w:cs="宋体"/>
    </w:rPr>
  </w:style>
  <w:style w:type="paragraph" w:customStyle="1" w:styleId="161">
    <w:name w:val="WPSOffice手动目录 1"/>
    <w:qFormat/>
    <w:uiPriority w:val="0"/>
    <w:rPr>
      <w:rFonts w:ascii="Times New Roman" w:hAnsi="Times New Roman" w:eastAsia="宋体" w:cs="Times New Roman"/>
      <w:lang w:val="en-US" w:eastAsia="zh-CN" w:bidi="ar-SA"/>
    </w:rPr>
  </w:style>
  <w:style w:type="paragraph" w:customStyle="1" w:styleId="162">
    <w:name w:val="彩色列表 - 着色 11"/>
    <w:basedOn w:val="1"/>
    <w:qFormat/>
    <w:uiPriority w:val="34"/>
    <w:pPr>
      <w:ind w:firstLine="420" w:firstLineChars="200"/>
    </w:pPr>
    <w:rPr>
      <w:rFonts w:ascii="Calibri" w:hAnsi="Calibri"/>
      <w:kern w:val="2"/>
      <w:sz w:val="21"/>
      <w:szCs w:val="22"/>
    </w:rPr>
  </w:style>
  <w:style w:type="paragraph" w:customStyle="1" w:styleId="163">
    <w:name w:val="空半行"/>
    <w:basedOn w:val="1"/>
    <w:qFormat/>
    <w:uiPriority w:val="0"/>
    <w:pPr>
      <w:spacing w:line="120" w:lineRule="exact"/>
    </w:pPr>
    <w:rPr>
      <w:rFonts w:eastAsia="仿宋_GB2312"/>
      <w:color w:val="FFFFFF"/>
      <w:sz w:val="30"/>
    </w:rPr>
  </w:style>
  <w:style w:type="paragraph" w:customStyle="1" w:styleId="164">
    <w:name w:val="flName"/>
    <w:basedOn w:val="126"/>
    <w:qFormat/>
    <w:uiPriority w:val="0"/>
    <w:rPr>
      <w:sz w:val="32"/>
    </w:rPr>
  </w:style>
  <w:style w:type="paragraph" w:customStyle="1" w:styleId="165">
    <w:name w:val="正文文字2"/>
    <w:basedOn w:val="21"/>
    <w:qFormat/>
    <w:uiPriority w:val="0"/>
    <w:rPr>
      <w:rFonts w:ascii="Arial" w:eastAsia="黑体"/>
    </w:rPr>
  </w:style>
  <w:style w:type="paragraph" w:customStyle="1" w:styleId="166">
    <w:name w:val="xl89"/>
    <w:basedOn w:val="1"/>
    <w:qFormat/>
    <w:uiPriority w:val="0"/>
    <w:pPr>
      <w:pBdr>
        <w:top w:val="single" w:color="auto" w:sz="4" w:space="0"/>
        <w:left w:val="single" w:color="auto" w:sz="4" w:space="0"/>
        <w:bottom w:val="single" w:color="auto" w:sz="4" w:space="0"/>
      </w:pBdr>
      <w:spacing w:before="100" w:beforeAutospacing="1" w:after="100" w:afterAutospacing="1"/>
      <w:jc w:val="center"/>
    </w:pPr>
    <w:rPr>
      <w:rFonts w:ascii="宋体" w:hAnsi="宋体" w:cs="宋体"/>
    </w:rPr>
  </w:style>
  <w:style w:type="paragraph" w:customStyle="1" w:styleId="167">
    <w:name w:val="xl75"/>
    <w:basedOn w:val="1"/>
    <w:qFormat/>
    <w:uiPriority w:val="0"/>
    <w:pPr>
      <w:pBdr>
        <w:top w:val="single" w:color="auto" w:sz="4" w:space="0"/>
        <w:left w:val="single" w:color="auto" w:sz="4" w:space="0"/>
        <w:bottom w:val="single" w:color="auto" w:sz="4" w:space="0"/>
        <w:right w:val="single" w:color="auto" w:sz="4" w:space="0"/>
      </w:pBdr>
      <w:shd w:val="clear" w:color="000000" w:fill="C8ECC8"/>
      <w:spacing w:before="100" w:beforeAutospacing="1" w:after="100" w:afterAutospacing="1"/>
      <w:jc w:val="center"/>
    </w:pPr>
    <w:rPr>
      <w:rFonts w:ascii="宋体" w:hAnsi="宋体" w:cs="宋体"/>
      <w:sz w:val="22"/>
      <w:szCs w:val="22"/>
    </w:rPr>
  </w:style>
  <w:style w:type="paragraph" w:customStyle="1" w:styleId="168">
    <w:name w:val="standdate"/>
    <w:basedOn w:val="32"/>
    <w:qFormat/>
    <w:uiPriority w:val="0"/>
    <w:pPr>
      <w:spacing w:line="340" w:lineRule="atLeast"/>
      <w:ind w:left="0"/>
      <w:jc w:val="center"/>
      <w:textAlignment w:val="center"/>
    </w:pPr>
    <w:rPr>
      <w:rFonts w:eastAsia="华文中宋"/>
      <w:b/>
      <w:color w:val="FF0000"/>
      <w:spacing w:val="-4"/>
      <w:sz w:val="36"/>
    </w:rPr>
  </w:style>
  <w:style w:type="paragraph" w:customStyle="1" w:styleId="169">
    <w:name w:val="xl83"/>
    <w:basedOn w:val="1"/>
    <w:qFormat/>
    <w:uiPriority w:val="0"/>
    <w:pPr>
      <w:pBdr>
        <w:top w:val="single" w:color="auto" w:sz="4" w:space="0"/>
        <w:right w:val="single" w:color="auto" w:sz="4" w:space="0"/>
      </w:pBdr>
      <w:shd w:val="clear" w:color="000000" w:fill="C8ECC8"/>
      <w:spacing w:before="100" w:beforeAutospacing="1" w:after="100" w:afterAutospacing="1"/>
      <w:jc w:val="center"/>
    </w:pPr>
    <w:rPr>
      <w:rFonts w:ascii="宋体" w:hAnsi="宋体" w:cs="宋体"/>
      <w:sz w:val="20"/>
    </w:rPr>
  </w:style>
  <w:style w:type="paragraph" w:customStyle="1" w:styleId="170">
    <w:name w:val="xl70"/>
    <w:basedOn w:val="1"/>
    <w:qFormat/>
    <w:uiPriority w:val="0"/>
    <w:pPr>
      <w:pBdr>
        <w:top w:val="single" w:color="auto" w:sz="4" w:space="0"/>
        <w:left w:val="single" w:color="auto" w:sz="4" w:space="0"/>
        <w:bottom w:val="single" w:color="auto" w:sz="4" w:space="0"/>
        <w:right w:val="single" w:color="auto" w:sz="4" w:space="0"/>
      </w:pBdr>
      <w:shd w:val="clear" w:color="000000" w:fill="C8ECC8"/>
      <w:spacing w:before="100" w:beforeAutospacing="1" w:after="100" w:afterAutospacing="1"/>
      <w:jc w:val="center"/>
    </w:pPr>
    <w:rPr>
      <w:rFonts w:ascii="宋体" w:hAnsi="宋体" w:cs="宋体"/>
      <w:sz w:val="18"/>
      <w:szCs w:val="18"/>
    </w:rPr>
  </w:style>
  <w:style w:type="paragraph" w:customStyle="1" w:styleId="171">
    <w:name w:val="注2"/>
    <w:basedOn w:val="117"/>
    <w:qFormat/>
    <w:uiPriority w:val="0"/>
    <w:pPr>
      <w:ind w:left="1103" w:leftChars="174" w:hanging="685" w:hangingChars="326"/>
    </w:pPr>
    <w:rPr>
      <w:rFonts w:cs="宋体"/>
    </w:rPr>
  </w:style>
  <w:style w:type="paragraph" w:customStyle="1" w:styleId="172">
    <w:name w:val="二级条标题"/>
    <w:basedOn w:val="1"/>
    <w:next w:val="63"/>
    <w:qFormat/>
    <w:uiPriority w:val="0"/>
    <w:pPr>
      <w:outlineLvl w:val="3"/>
    </w:pPr>
    <w:rPr>
      <w:rFonts w:ascii="黑体" w:eastAsia="黑体"/>
      <w:sz w:val="21"/>
    </w:rPr>
  </w:style>
  <w:style w:type="paragraph" w:customStyle="1" w:styleId="173">
    <w:name w:val="flType"/>
    <w:basedOn w:val="164"/>
    <w:qFormat/>
    <w:uiPriority w:val="0"/>
    <w:pPr>
      <w:spacing w:before="560" w:after="120"/>
    </w:pPr>
    <w:rPr>
      <w:sz w:val="28"/>
    </w:rPr>
  </w:style>
  <w:style w:type="paragraph" w:customStyle="1" w:styleId="174">
    <w:name w:val="xl72"/>
    <w:basedOn w:val="1"/>
    <w:qFormat/>
    <w:uiPriority w:val="0"/>
    <w:pPr>
      <w:pBdr>
        <w:top w:val="single" w:color="auto" w:sz="4" w:space="0"/>
        <w:left w:val="single" w:color="auto" w:sz="4" w:space="0"/>
        <w:bottom w:val="single" w:color="auto" w:sz="4" w:space="0"/>
        <w:right w:val="single" w:color="auto" w:sz="4" w:space="0"/>
      </w:pBdr>
      <w:shd w:val="clear" w:color="000000" w:fill="C8ECC8"/>
      <w:spacing w:before="100" w:beforeAutospacing="1" w:after="100" w:afterAutospacing="1"/>
      <w:jc w:val="center"/>
    </w:pPr>
    <w:rPr>
      <w:rFonts w:ascii="宋体" w:hAnsi="宋体" w:cs="宋体"/>
      <w:sz w:val="20"/>
    </w:rPr>
  </w:style>
  <w:style w:type="table" w:customStyle="1" w:styleId="175">
    <w:name w:val="Table Normal"/>
    <w:qFormat/>
    <w:uiPriority w:val="0"/>
    <w:rPr>
      <w:rFonts w:eastAsia="Arial Unicode MS"/>
    </w:rPr>
    <w:tblPr>
      <w:tblCellMar>
        <w:top w:w="0" w:type="dxa"/>
        <w:left w:w="0" w:type="dxa"/>
        <w:bottom w:w="0" w:type="dxa"/>
        <w:right w:w="0" w:type="dxa"/>
      </w:tblCellMar>
    </w:tblPr>
  </w:style>
  <w:style w:type="paragraph" w:styleId="176">
    <w:name w:val="List Paragraph"/>
    <w:basedOn w:val="1"/>
    <w:qFormat/>
    <w:uiPriority w:val="34"/>
    <w:pPr>
      <w:widowControl w:val="0"/>
      <w:ind w:firstLine="420" w:firstLineChars="200"/>
      <w:jc w:val="both"/>
    </w:pPr>
    <w:rPr>
      <w:rFonts w:ascii="Calibri" w:hAnsi="Calibri"/>
      <w:kern w:val="2"/>
      <w:sz w:val="21"/>
      <w:szCs w:val="22"/>
    </w:rPr>
  </w:style>
  <w:style w:type="paragraph" w:customStyle="1" w:styleId="177">
    <w:name w:val="公文正文"/>
    <w:basedOn w:val="1"/>
    <w:qFormat/>
    <w:uiPriority w:val="0"/>
    <w:pPr>
      <w:ind w:firstLine="632" w:firstLineChars="200"/>
    </w:pPr>
    <w:rPr>
      <w:rFonts w:ascii="Calibri" w:hAnsi="ˎ̥" w:cs="宋体"/>
      <w:color w:val="000000"/>
    </w:rPr>
  </w:style>
  <w:style w:type="paragraph" w:customStyle="1" w:styleId="178">
    <w:name w:val="List Paragraph1"/>
    <w:basedOn w:val="1"/>
    <w:qFormat/>
    <w:uiPriority w:val="34"/>
    <w:pPr>
      <w:widowControl w:val="0"/>
      <w:ind w:firstLine="420" w:firstLineChars="200"/>
      <w:jc w:val="both"/>
    </w:pPr>
    <w:rPr>
      <w:rFonts w:ascii="Calibri" w:hAnsi="Calibri"/>
      <w:kern w:val="2"/>
      <w:sz w:val="21"/>
      <w:szCs w:val="22"/>
    </w:rPr>
  </w:style>
  <w:style w:type="paragraph" w:customStyle="1" w:styleId="179">
    <w:name w:val="公文标题"/>
    <w:basedOn w:val="1"/>
    <w:qFormat/>
    <w:uiPriority w:val="0"/>
    <w:pPr>
      <w:ind w:left="500" w:leftChars="500" w:right="406" w:rightChars="406"/>
      <w:jc w:val="center"/>
    </w:pPr>
    <w:rPr>
      <w:rFonts w:ascii="仿宋_GB2312" w:eastAsia="仿宋_GB2312"/>
      <w:sz w:val="44"/>
      <w:szCs w:val="32"/>
    </w:rPr>
  </w:style>
  <w:style w:type="character" w:customStyle="1" w:styleId="180">
    <w:name w:val="font01"/>
    <w:basedOn w:val="54"/>
    <w:qFormat/>
    <w:uiPriority w:val="0"/>
    <w:rPr>
      <w:rFonts w:hint="eastAsia" w:ascii="宋体" w:hAnsi="宋体" w:eastAsia="宋体" w:cs="宋体"/>
      <w:b/>
      <w:bCs/>
      <w:color w:val="000000"/>
      <w:sz w:val="20"/>
      <w:szCs w:val="20"/>
      <w:u w:val="none"/>
    </w:rPr>
  </w:style>
  <w:style w:type="character" w:customStyle="1" w:styleId="181">
    <w:name w:val="font21"/>
    <w:basedOn w:val="54"/>
    <w:qFormat/>
    <w:uiPriority w:val="0"/>
    <w:rPr>
      <w:rFonts w:hint="eastAsia" w:ascii="微软雅黑" w:hAnsi="微软雅黑" w:eastAsia="微软雅黑" w:cs="微软雅黑"/>
      <w:b/>
      <w:bCs/>
      <w:color w:val="000000"/>
      <w:sz w:val="20"/>
      <w:szCs w:val="20"/>
      <w:u w:val="none"/>
    </w:rPr>
  </w:style>
  <w:style w:type="paragraph" w:customStyle="1" w:styleId="182">
    <w:name w:val="修订2"/>
    <w:hidden/>
    <w:unhideWhenUsed/>
    <w:qFormat/>
    <w:uiPriority w:val="99"/>
    <w:rPr>
      <w:rFonts w:ascii="Times New Roman" w:hAnsi="Times New Roman" w:eastAsia="宋体" w:cs="Times New Roman"/>
      <w:sz w:val="24"/>
      <w:szCs w:val="24"/>
      <w:lang w:val="en-US" w:eastAsia="zh-CN" w:bidi="ar-SA"/>
    </w:rPr>
  </w:style>
  <w:style w:type="paragraph" w:customStyle="1" w:styleId="183">
    <w:name w:val="Normal_bcff8253-23c6-4e24-a316-4ecb38e81ce0"/>
    <w:next w:val="1"/>
    <w:qFormat/>
    <w:uiPriority w:val="0"/>
    <w:pPr>
      <w:spacing w:line="280" w:lineRule="atLeast"/>
    </w:pPr>
    <w:rPr>
      <w:rFonts w:ascii="Times New Roman" w:hAnsi="Times New Roman" w:eastAsia="宋体" w:cs="Times New Roman"/>
      <w:kern w:val="2"/>
      <w:sz w:val="21"/>
      <w:szCs w:val="21"/>
      <w:lang w:val="en-US" w:eastAsia="zh-CN" w:bidi="ar-SA"/>
    </w:rPr>
  </w:style>
  <w:style w:type="character" w:customStyle="1" w:styleId="184">
    <w:name w:val="font41"/>
    <w:qFormat/>
    <w:uiPriority w:val="0"/>
    <w:rPr>
      <w:rFonts w:hint="eastAsia" w:ascii="宋体" w:hAnsi="宋体" w:eastAsia="宋体" w:cs="宋体"/>
      <w:color w:val="000000"/>
      <w:sz w:val="20"/>
      <w:szCs w:val="20"/>
      <w:u w:val="none"/>
    </w:rPr>
  </w:style>
  <w:style w:type="character" w:customStyle="1" w:styleId="185">
    <w:name w:val="标题 Char"/>
    <w:link w:val="49"/>
    <w:qFormat/>
    <w:locked/>
    <w:uiPriority w:val="0"/>
    <w:rPr>
      <w:rFonts w:ascii="Cambria" w:hAnsi="Cambria" w:cs="Cambria"/>
      <w:b/>
      <w:bCs/>
      <w:sz w:val="32"/>
      <w:szCs w:val="32"/>
    </w:rPr>
  </w:style>
  <w:style w:type="character" w:customStyle="1" w:styleId="186">
    <w:name w:val="apple-style-span"/>
    <w:qFormat/>
    <w:uiPriority w:val="99"/>
    <w:rPr>
      <w:rFonts w:cs="Times New Roman"/>
    </w:rPr>
  </w:style>
  <w:style w:type="character" w:customStyle="1" w:styleId="187">
    <w:name w:val="标题 3 Char"/>
    <w:link w:val="4"/>
    <w:qFormat/>
    <w:locked/>
    <w:uiPriority w:val="99"/>
    <w:rPr>
      <w:sz w:val="24"/>
      <w:szCs w:val="24"/>
    </w:rPr>
  </w:style>
  <w:style w:type="character" w:customStyle="1" w:styleId="188">
    <w:name w:val="textcontents"/>
    <w:qFormat/>
    <w:uiPriority w:val="99"/>
    <w:rPr>
      <w:rFonts w:cs="Times New Roman"/>
    </w:rPr>
  </w:style>
  <w:style w:type="character" w:customStyle="1" w:styleId="189">
    <w:name w:val="标题 Char1"/>
    <w:basedOn w:val="54"/>
    <w:link w:val="49"/>
    <w:qFormat/>
    <w:uiPriority w:val="0"/>
    <w:rPr>
      <w:rFonts w:asciiTheme="majorHAnsi" w:hAnsiTheme="majorHAnsi" w:cstheme="majorBidi"/>
      <w:b/>
      <w:bCs/>
      <w:sz w:val="32"/>
      <w:szCs w:val="32"/>
    </w:rPr>
  </w:style>
  <w:style w:type="paragraph" w:customStyle="1" w:styleId="190">
    <w:name w:val="样式4"/>
    <w:basedOn w:val="2"/>
    <w:next w:val="3"/>
    <w:qFormat/>
    <w:uiPriority w:val="99"/>
    <w:pPr>
      <w:keepNext/>
      <w:keepLines/>
      <w:numPr>
        <w:numId w:val="0"/>
      </w:numPr>
      <w:tabs>
        <w:tab w:val="left" w:pos="420"/>
      </w:tabs>
      <w:spacing w:before="100" w:after="100" w:line="578" w:lineRule="auto"/>
      <w:ind w:left="420" w:hanging="420"/>
      <w:jc w:val="both"/>
    </w:pPr>
    <w:rPr>
      <w:rFonts w:ascii="仿宋_GB2312" w:hAnsi="仿宋_GB2312" w:eastAsia="仿宋_GB2312" w:cs="仿宋_GB2312"/>
      <w:color w:val="000000"/>
      <w:kern w:val="0"/>
      <w:sz w:val="30"/>
      <w:szCs w:val="30"/>
    </w:rPr>
  </w:style>
  <w:style w:type="paragraph" w:customStyle="1" w:styleId="191">
    <w:name w:val="TOC Heading"/>
    <w:basedOn w:val="2"/>
    <w:next w:val="1"/>
    <w:qFormat/>
    <w:uiPriority w:val="39"/>
    <w:pPr>
      <w:keepNext/>
      <w:keepLines/>
      <w:numPr>
        <w:numId w:val="0"/>
      </w:numPr>
      <w:spacing w:before="480" w:after="0" w:line="276" w:lineRule="auto"/>
      <w:outlineLvl w:val="9"/>
    </w:pPr>
    <w:rPr>
      <w:rFonts w:ascii="Cambria" w:hAnsi="Cambria" w:eastAsia="宋体"/>
      <w:b/>
      <w:bCs/>
      <w:color w:val="365F91"/>
      <w:kern w:val="0"/>
      <w:sz w:val="28"/>
      <w:szCs w:val="28"/>
    </w:rPr>
  </w:style>
  <w:style w:type="paragraph" w:customStyle="1" w:styleId="192">
    <w:name w:val="样式2"/>
    <w:basedOn w:val="49"/>
    <w:qFormat/>
    <w:uiPriority w:val="99"/>
    <w:rPr>
      <w:rFonts w:ascii="华文中宋" w:hAnsi="华文中宋" w:eastAsia="华文中宋" w:cs="华文中宋"/>
      <w:b w:val="0"/>
      <w:bCs w:val="0"/>
      <w:sz w:val="30"/>
      <w:szCs w:val="30"/>
    </w:rPr>
  </w:style>
  <w:style w:type="paragraph" w:customStyle="1" w:styleId="193">
    <w:name w:val="noindent"/>
    <w:basedOn w:val="1"/>
    <w:qFormat/>
    <w:uiPriority w:val="99"/>
    <w:pPr>
      <w:spacing w:before="100" w:beforeAutospacing="1" w:after="100" w:afterAutospacing="1"/>
    </w:pPr>
    <w:rPr>
      <w:rFonts w:ascii="宋体" w:hAnsi="宋体" w:cs="宋体"/>
    </w:rPr>
  </w:style>
  <w:style w:type="paragraph" w:customStyle="1" w:styleId="194">
    <w:name w:val="样式5"/>
    <w:basedOn w:val="2"/>
    <w:next w:val="3"/>
    <w:qFormat/>
    <w:uiPriority w:val="99"/>
    <w:pPr>
      <w:keepNext/>
      <w:keepLines/>
      <w:tabs>
        <w:tab w:val="left" w:pos="720"/>
      </w:tabs>
      <w:spacing w:before="100" w:after="100" w:line="578" w:lineRule="auto"/>
      <w:ind w:left="720" w:hanging="720"/>
      <w:jc w:val="both"/>
    </w:pPr>
    <w:rPr>
      <w:rFonts w:ascii="仿宋_GB2312" w:hAnsi="仿宋_GB2312" w:eastAsia="仿宋_GB2312" w:cs="仿宋_GB2312"/>
      <w:b/>
      <w:kern w:val="2"/>
      <w:sz w:val="28"/>
      <w:szCs w:val="28"/>
    </w:rPr>
  </w:style>
  <w:style w:type="paragraph" w:customStyle="1" w:styleId="195">
    <w:name w:val="主送机关"/>
    <w:basedOn w:val="1"/>
    <w:qFormat/>
    <w:uiPriority w:val="0"/>
    <w:pPr>
      <w:widowControl w:val="0"/>
      <w:jc w:val="both"/>
    </w:pPr>
    <w:rPr>
      <w:rFonts w:ascii="仿宋_GB2312"/>
      <w:kern w:val="2"/>
      <w:sz w:val="21"/>
      <w:szCs w:val="21"/>
    </w:rPr>
  </w:style>
  <w:style w:type="paragraph" w:customStyle="1" w:styleId="196">
    <w:name w:val="样式1"/>
    <w:basedOn w:val="2"/>
    <w:qFormat/>
    <w:uiPriority w:val="99"/>
    <w:pPr>
      <w:keepNext/>
      <w:keepLines/>
      <w:widowControl w:val="0"/>
      <w:numPr>
        <w:numId w:val="0"/>
      </w:numPr>
      <w:spacing w:before="340" w:after="330" w:line="578" w:lineRule="auto"/>
      <w:ind w:left="420" w:leftChars="200"/>
      <w:jc w:val="both"/>
    </w:pPr>
    <w:rPr>
      <w:rFonts w:ascii="仿宋_GB2312" w:eastAsia="仿宋_GB2312" w:cs="仿宋_GB2312"/>
      <w:sz w:val="30"/>
      <w:szCs w:val="30"/>
    </w:rPr>
  </w:style>
  <w:style w:type="paragraph" w:customStyle="1" w:styleId="197">
    <w:name w:val="样式3"/>
    <w:basedOn w:val="2"/>
    <w:qFormat/>
    <w:uiPriority w:val="99"/>
    <w:pPr>
      <w:keepNext/>
      <w:keepLines/>
      <w:numPr>
        <w:numId w:val="0"/>
      </w:numPr>
      <w:tabs>
        <w:tab w:val="left" w:pos="420"/>
      </w:tabs>
      <w:spacing w:before="100" w:after="100" w:line="578" w:lineRule="auto"/>
      <w:ind w:left="420" w:hanging="420"/>
      <w:jc w:val="both"/>
    </w:pPr>
    <w:rPr>
      <w:rFonts w:ascii="仿宋_GB2312" w:hAnsi="仿宋_GB2312" w:eastAsia="仿宋_GB2312" w:cs="仿宋_GB2312"/>
      <w:color w:val="000000"/>
      <w:kern w:val="0"/>
      <w:sz w:val="30"/>
      <w:szCs w:val="30"/>
    </w:rPr>
  </w:style>
  <w:style w:type="paragraph" w:customStyle="1" w:styleId="198">
    <w:name w:val="img"/>
    <w:basedOn w:val="1"/>
    <w:qFormat/>
    <w:uiPriority w:val="0"/>
    <w:pPr>
      <w:spacing w:before="100" w:beforeAutospacing="1" w:after="100" w:afterAutospacing="1"/>
    </w:pPr>
    <w:rPr>
      <w:rFonts w:ascii="宋体" w:hAnsi="宋体" w:cs="宋体"/>
    </w:rPr>
  </w:style>
  <w:style w:type="paragraph" w:customStyle="1" w:styleId="199">
    <w:name w:val="样式6"/>
    <w:basedOn w:val="49"/>
    <w:next w:val="2"/>
    <w:qFormat/>
    <w:uiPriority w:val="99"/>
    <w:pPr>
      <w:tabs>
        <w:tab w:val="left" w:pos="780"/>
      </w:tabs>
      <w:spacing w:before="0" w:after="0" w:line="360" w:lineRule="atLeast"/>
      <w:ind w:left="780" w:hanging="360"/>
    </w:pPr>
    <w:rPr>
      <w:rFonts w:ascii="黑体" w:hAnsi="黑体" w:eastAsia="黑体" w:cs="黑体"/>
      <w:b w:val="0"/>
      <w:bCs w:val="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uangyingjie\AppData\Roaming\Microsoft\Templates\PCB1.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Info spid="_x0000_s1025"/>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91C31A-2C5E-4D46-9781-58FF620CF7C6}">
  <ds:schemaRefs/>
</ds:datastoreItem>
</file>

<file path=docProps/app.xml><?xml version="1.0" encoding="utf-8"?>
<Properties xmlns="http://schemas.openxmlformats.org/officeDocument/2006/extended-properties" xmlns:vt="http://schemas.openxmlformats.org/officeDocument/2006/docPropsVTypes">
  <Template>PCB1</Template>
  <Company>P R C</Company>
  <Pages>71</Pages>
  <Words>2373</Words>
  <Characters>2758</Characters>
  <Lines>285</Lines>
  <Paragraphs>80</Paragraphs>
  <TotalTime>2</TotalTime>
  <ScaleCrop>false</ScaleCrop>
  <LinksUpToDate>false</LinksUpToDate>
  <CharactersWithSpaces>2903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2023-08-04T08:59:00Z</dcterms:created>
  <dc:creator>Jin Xiaowei</dc:creator>
  <cp:lastModifiedBy>许梦迪</cp:lastModifiedBy>
  <cp:lastPrinted>2024-11-29T05:40:00Z</cp:lastPrinted>
  <dcterms:modified xsi:type="dcterms:W3CDTF">2025-09-25T00:48:35Z</dcterms:modified>
  <cp:revision>611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5C1F28DD978609D6A1AE0564953D9F58</vt:lpwstr>
  </property>
  <property fmtid="{D5CDD505-2E9C-101B-9397-08002B2CF9AE}" pid="4" name="KSOTemplateDocerSaveRecord">
    <vt:lpwstr>eyJoZGlkIjoiNWE2YjNhMzk5ZDU0OTViMjZjZDNkYTM1N2FlYjRlMWEiLCJ1c2VySWQiOiIyNDk1MTQ3ODMifQ==</vt:lpwstr>
  </property>
</Properties>
</file>